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4F" w:rsidRDefault="00EF767C">
      <w:pPr>
        <w:pStyle w:val="Standard"/>
      </w:pPr>
      <w:bookmarkStart w:id="0" w:name="_GoBack"/>
      <w:bookmarkEnd w:id="0"/>
      <w:r>
        <w:t xml:space="preserve">  </w:t>
      </w:r>
      <w:r>
        <w:rPr>
          <w:noProof/>
          <w:lang w:eastAsia="fr-FR" w:bidi="ar-SA"/>
        </w:rPr>
        <w:drawing>
          <wp:inline distT="0" distB="0" distL="0" distR="0">
            <wp:extent cx="2512080" cy="1659960"/>
            <wp:effectExtent l="0" t="0" r="252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2512080" cy="1659960"/>
                    </a:xfrm>
                    <a:prstGeom prst="rect">
                      <a:avLst/>
                    </a:prstGeom>
                    <a:ln>
                      <a:noFill/>
                      <a:prstDash/>
                    </a:ln>
                  </pic:spPr>
                </pic:pic>
              </a:graphicData>
            </a:graphic>
          </wp:inline>
        </w:drawing>
      </w:r>
    </w:p>
    <w:p w:rsidR="0083184F" w:rsidRDefault="0083184F">
      <w:pPr>
        <w:pStyle w:val="Standard"/>
      </w:pPr>
    </w:p>
    <w:p w:rsidR="0083184F" w:rsidRDefault="0083184F">
      <w:pPr>
        <w:pStyle w:val="Standard"/>
      </w:pPr>
    </w:p>
    <w:p w:rsidR="0083184F" w:rsidRDefault="00EF767C">
      <w:pPr>
        <w:pStyle w:val="Standard"/>
        <w:rPr>
          <w:rFonts w:ascii="sans-serif" w:hAnsi="sans-serif" w:hint="eastAsia"/>
          <w:sz w:val="30"/>
        </w:rPr>
      </w:pPr>
      <w:r>
        <w:rPr>
          <w:rFonts w:ascii="sans-serif" w:hAnsi="sans-serif"/>
          <w:sz w:val="30"/>
        </w:rPr>
        <w:tab/>
      </w:r>
    </w:p>
    <w:p w:rsidR="0083184F" w:rsidRDefault="00EF767C">
      <w:pPr>
        <w:pStyle w:val="Textbody"/>
        <w:rPr>
          <w:sz w:val="28"/>
          <w:szCs w:val="28"/>
        </w:rPr>
      </w:pPr>
      <w:bookmarkStart w:id="1" w:name="yui_3_16_0_1_1445939773516_4258"/>
      <w:bookmarkStart w:id="2" w:name="yui_3_16_0_1_1445939773516_4256"/>
      <w:bookmarkStart w:id="3" w:name="yui_3_16_0_1_1445939773516_4254"/>
      <w:bookmarkStart w:id="4" w:name="yui_3_16_0_1_1445939773516_4252"/>
      <w:bookmarkEnd w:id="1"/>
      <w:bookmarkEnd w:id="2"/>
      <w:bookmarkEnd w:id="3"/>
      <w:bookmarkEnd w:id="4"/>
      <w:r>
        <w:rPr>
          <w:b/>
          <w:sz w:val="28"/>
          <w:szCs w:val="28"/>
        </w:rPr>
        <w:t xml:space="preserve">Les accords entre </w:t>
      </w:r>
      <w:bookmarkStart w:id="5" w:name="yui_3_16_0_1_1445939773516_4260"/>
      <w:bookmarkEnd w:id="5"/>
      <w:r>
        <w:rPr>
          <w:b/>
          <w:i/>
          <w:sz w:val="28"/>
          <w:szCs w:val="28"/>
        </w:rPr>
        <w:t>Springer</w:t>
      </w:r>
      <w:r>
        <w:rPr>
          <w:b/>
          <w:sz w:val="28"/>
          <w:szCs w:val="28"/>
        </w:rPr>
        <w:t xml:space="preserve">, le </w:t>
      </w:r>
      <w:bookmarkStart w:id="6" w:name="yui_3_16_0_1_1445939773516_4262"/>
      <w:bookmarkEnd w:id="6"/>
      <w:r>
        <w:rPr>
          <w:b/>
          <w:i/>
          <w:sz w:val="28"/>
          <w:szCs w:val="28"/>
        </w:rPr>
        <w:t>JISC</w:t>
      </w:r>
      <w:r>
        <w:rPr>
          <w:b/>
          <w:sz w:val="28"/>
          <w:szCs w:val="28"/>
        </w:rPr>
        <w:t xml:space="preserve"> et la </w:t>
      </w:r>
      <w:bookmarkStart w:id="7" w:name="yui_3_16_0_1_1445939773516_4264"/>
      <w:bookmarkEnd w:id="7"/>
      <w:r>
        <w:rPr>
          <w:b/>
          <w:i/>
          <w:sz w:val="28"/>
          <w:szCs w:val="28"/>
        </w:rPr>
        <w:t xml:space="preserve">Max Planck </w:t>
      </w:r>
      <w:proofErr w:type="spellStart"/>
      <w:r>
        <w:rPr>
          <w:b/>
          <w:i/>
          <w:sz w:val="28"/>
          <w:szCs w:val="28"/>
        </w:rPr>
        <w:t>Gesellschaft</w:t>
      </w:r>
      <w:proofErr w:type="spellEnd"/>
      <w:r>
        <w:rPr>
          <w:b/>
          <w:sz w:val="28"/>
          <w:szCs w:val="28"/>
        </w:rPr>
        <w:t xml:space="preserve"> signent-ils la fin d'une ambition européenne ?</w:t>
      </w:r>
    </w:p>
    <w:p w:rsidR="0083184F" w:rsidRDefault="0083184F">
      <w:pPr>
        <w:pStyle w:val="Textbody"/>
        <w:spacing w:after="0"/>
      </w:pPr>
      <w:bookmarkStart w:id="8" w:name="yui_3_16_0_1_1445939773516_4268"/>
      <w:bookmarkStart w:id="9" w:name="yui_3_16_0_1_1445939773516_4266"/>
      <w:bookmarkEnd w:id="8"/>
      <w:bookmarkEnd w:id="9"/>
    </w:p>
    <w:p w:rsidR="0083184F" w:rsidRDefault="00EF767C">
      <w:pPr>
        <w:pStyle w:val="Textbody"/>
        <w:spacing w:after="0"/>
      </w:pPr>
      <w:bookmarkStart w:id="10" w:name="yui_3_16_0_1_1445939773516_4278"/>
      <w:bookmarkStart w:id="11" w:name="yui_3_16_0_1_1445939773516_4276"/>
      <w:bookmarkStart w:id="12" w:name="yui_3_16_0_1_1445939773516_4274"/>
      <w:bookmarkStart w:id="13" w:name="yui_3_16_0_1_1445939773516_4272"/>
      <w:bookmarkStart w:id="14" w:name="yui_3_16_0_1_1445939773516_4270"/>
      <w:bookmarkEnd w:id="10"/>
      <w:bookmarkEnd w:id="11"/>
      <w:bookmarkEnd w:id="12"/>
      <w:bookmarkEnd w:id="13"/>
      <w:bookmarkEnd w:id="14"/>
      <w:r>
        <w:rPr>
          <w:b/>
          <w:i/>
          <w:color w:val="CC3300"/>
          <w:sz w:val="28"/>
        </w:rPr>
        <w:t>L'information </w:t>
      </w:r>
      <w:bookmarkStart w:id="15" w:name="yui_3_16_0_1_1445939773516_4284"/>
      <w:bookmarkStart w:id="16" w:name="yui_3_16_0_1_1445939773516_4282"/>
      <w:bookmarkStart w:id="17" w:name="yui_3_16_0_1_1445939773516_4280"/>
      <w:bookmarkEnd w:id="15"/>
      <w:bookmarkEnd w:id="16"/>
      <w:bookmarkEnd w:id="17"/>
      <w:r>
        <w:rPr>
          <w:b/>
          <w:color w:val="CC3300"/>
          <w:sz w:val="28"/>
        </w:rPr>
        <w:t>:</w:t>
      </w:r>
    </w:p>
    <w:p w:rsidR="0083184F" w:rsidRDefault="0083184F">
      <w:pPr>
        <w:pStyle w:val="Textbody"/>
        <w:spacing w:after="0"/>
      </w:pPr>
      <w:bookmarkStart w:id="18" w:name="yui_3_16_0_1_1445939773516_4288"/>
      <w:bookmarkStart w:id="19" w:name="yui_3_16_0_1_1445939773516_4286"/>
      <w:bookmarkEnd w:id="18"/>
      <w:bookmarkEnd w:id="19"/>
    </w:p>
    <w:p w:rsidR="0083184F" w:rsidRDefault="00EF767C">
      <w:pPr>
        <w:pStyle w:val="Textbody"/>
        <w:spacing w:after="0"/>
      </w:pPr>
      <w:bookmarkStart w:id="20" w:name="yui_3_16_0_1_1445939773516_4292"/>
      <w:bookmarkStart w:id="21" w:name="yui_3_16_0_1_1445939773516_4290"/>
      <w:bookmarkEnd w:id="20"/>
      <w:bookmarkEnd w:id="21"/>
      <w:r>
        <w:rPr>
          <w:i/>
        </w:rPr>
        <w:t>Springer</w:t>
      </w:r>
      <w:r>
        <w:t xml:space="preserve"> (</w:t>
      </w:r>
      <w:hyperlink r:id="rId9" w:history="1">
        <w:r>
          <w:t>www.springer.com</w:t>
        </w:r>
      </w:hyperlink>
      <w:r>
        <w:t xml:space="preserve">) a annoncé le 22 octobre avoir conclu avec le </w:t>
      </w:r>
      <w:bookmarkStart w:id="22" w:name="yui_3_16_0_1_1445939773516_4296"/>
      <w:bookmarkEnd w:id="22"/>
      <w:r>
        <w:rPr>
          <w:i/>
        </w:rPr>
        <w:t>JISC</w:t>
      </w:r>
      <w:r>
        <w:t xml:space="preserve"> (</w:t>
      </w:r>
      <w:hyperlink r:id="rId10" w:history="1">
        <w:r>
          <w:t>www.jisc.ac.uk</w:t>
        </w:r>
      </w:hyperlink>
      <w:r>
        <w:t xml:space="preserve">), l'organisme en charge de l'achat mutualisé de ressources documentaires pour l'enseignement supérieur et la recherche publique britannique, un accord global (dénommé </w:t>
      </w:r>
      <w:bookmarkStart w:id="23" w:name="yui_3_16_0_1_1445939773516_4300"/>
      <w:bookmarkEnd w:id="23"/>
      <w:r>
        <w:rPr>
          <w:i/>
        </w:rPr>
        <w:t>Springer Compact Agreement</w:t>
      </w:r>
      <w:r>
        <w:t>) associant dans une même enveloppe les budgets</w:t>
      </w:r>
      <w:r>
        <w:t xml:space="preserve"> de type « licence nationale » d'accès aux 2000 revues Springer et les crédits dédiées aux APC (Article </w:t>
      </w:r>
      <w:proofErr w:type="spellStart"/>
      <w:r>
        <w:t>Processing</w:t>
      </w:r>
      <w:proofErr w:type="spellEnd"/>
      <w:r>
        <w:t xml:space="preserve"> Charges) pour publication dans 1600 revues Springer dans le cadre d'un modèle économique hybride</w:t>
      </w:r>
      <w:r>
        <w:rPr>
          <w:rStyle w:val="Appelnotedebasdep"/>
        </w:rPr>
        <w:footnoteReference w:id="1"/>
      </w:r>
      <w:r>
        <w:t xml:space="preserve">. Springer avait déjà annoncé un accord du même type le 21 octobre avec la prestigieuse </w:t>
      </w:r>
      <w:bookmarkStart w:id="24" w:name="yui_3_16_0_1_1445939773516_4306"/>
      <w:bookmarkEnd w:id="24"/>
      <w:r>
        <w:rPr>
          <w:i/>
        </w:rPr>
        <w:t xml:space="preserve">Max Planck </w:t>
      </w:r>
      <w:proofErr w:type="spellStart"/>
      <w:r>
        <w:rPr>
          <w:i/>
        </w:rPr>
        <w:t>Gesellschaft</w:t>
      </w:r>
      <w:proofErr w:type="spellEnd"/>
      <w:r>
        <w:t xml:space="preserve"> (</w:t>
      </w:r>
      <w:hyperlink r:id="rId11" w:history="1">
        <w:r>
          <w:t>www.mpg.de</w:t>
        </w:r>
      </w:hyperlink>
      <w:r>
        <w:t xml:space="preserve">), la principale institution publique </w:t>
      </w:r>
      <w:r>
        <w:t>de recherche en Allemagne</w:t>
      </w:r>
      <w:r>
        <w:rPr>
          <w:rStyle w:val="Appelnotedebasdep"/>
        </w:rPr>
        <w:footnoteReference w:id="2"/>
      </w:r>
      <w:r>
        <w:t>. En raison de la notoriété de ces deux institutions, les accords avec le JISC</w:t>
      </w:r>
      <w:r>
        <w:rPr>
          <w:rStyle w:val="Appelnotedebasdep"/>
        </w:rPr>
        <w:footnoteReference w:id="3"/>
      </w:r>
      <w:r>
        <w:t xml:space="preserve"> et avec la « Max Planck » sont des succès majeurs pour Springer qui place ces « </w:t>
      </w:r>
      <w:bookmarkStart w:id="28" w:name="yui_3_16_0_1_1445939773516_4314"/>
      <w:bookmarkEnd w:id="28"/>
      <w:r>
        <w:rPr>
          <w:i/>
        </w:rPr>
        <w:t xml:space="preserve">Compact </w:t>
      </w:r>
      <w:proofErr w:type="spellStart"/>
      <w:r>
        <w:rPr>
          <w:i/>
        </w:rPr>
        <w:t>agreements</w:t>
      </w:r>
      <w:proofErr w:type="spellEnd"/>
      <w:r>
        <w:t> » au cœur de sa stratégie commerciale. Ces accords lui per</w:t>
      </w:r>
      <w:r>
        <w:t xml:space="preserve">mettront de développer sa part de marché grâce au modèle hybride et de « sanctuariser » son chiffre d'affaires et ses marges très élevées. Du point de vue des institutions signant des « Compact </w:t>
      </w:r>
      <w:proofErr w:type="spellStart"/>
      <w:r>
        <w:t>Agreements</w:t>
      </w:r>
      <w:proofErr w:type="spellEnd"/>
      <w:r>
        <w:t>» ces accords, en abaissant de façon drastique les b</w:t>
      </w:r>
      <w:r>
        <w:t>arrières à la publication en OA natif, sans embargo, présentent de nombreux avantages. Mais en risquant de figer le scénario concurrentiel de l'édition scientifique au profit des seuls grands éditeurs « for-profit », ces accords rendront les communautés sc</w:t>
      </w:r>
      <w:r>
        <w:t>ientifiques encore plus dépendantes de ces grands éditeurs, sans déboucher sur une réduction significative - pourtant possible - des coûts de la communication scientifique. Ces accords nationaux tuent dans l'œuf la possibilité d'une approche européenne coo</w:t>
      </w:r>
      <w:r>
        <w:t>rdonnée de l'évolution du modèle économique de la publication scientifique.</w:t>
      </w:r>
    </w:p>
    <w:p w:rsidR="0083184F" w:rsidRDefault="0083184F">
      <w:pPr>
        <w:pStyle w:val="Textbody"/>
        <w:spacing w:after="0"/>
      </w:pPr>
      <w:bookmarkStart w:id="29" w:name="yui_3_16_0_1_1445939773516_4318"/>
      <w:bookmarkStart w:id="30" w:name="yui_3_16_0_1_1445939773516_4316"/>
      <w:bookmarkEnd w:id="29"/>
      <w:bookmarkEnd w:id="30"/>
    </w:p>
    <w:p w:rsidR="0083184F" w:rsidRDefault="00EF767C">
      <w:pPr>
        <w:pStyle w:val="Textbody"/>
        <w:spacing w:after="0"/>
      </w:pPr>
      <w:bookmarkStart w:id="31" w:name="yui_3_16_0_1_1445939773516_4328"/>
      <w:bookmarkStart w:id="32" w:name="yui_3_16_0_1_1445939773516_4326"/>
      <w:bookmarkStart w:id="33" w:name="yui_3_16_0_1_1445939773516_4324"/>
      <w:bookmarkStart w:id="34" w:name="yui_3_16_0_1_1445939773516_4322"/>
      <w:bookmarkStart w:id="35" w:name="yui_3_16_0_1_1445939773516_4320"/>
      <w:bookmarkEnd w:id="31"/>
      <w:bookmarkEnd w:id="32"/>
      <w:bookmarkEnd w:id="33"/>
      <w:bookmarkEnd w:id="34"/>
      <w:bookmarkEnd w:id="35"/>
      <w:r>
        <w:rPr>
          <w:b/>
          <w:i/>
          <w:color w:val="CC3300"/>
          <w:sz w:val="28"/>
        </w:rPr>
        <w:t>L'analyse d'Intelligence IST</w:t>
      </w:r>
      <w:bookmarkStart w:id="36" w:name="yui_3_16_0_1_1445939773516_4330"/>
      <w:bookmarkEnd w:id="36"/>
      <w:r>
        <w:t> </w:t>
      </w:r>
      <w:bookmarkStart w:id="37" w:name="yui_3_16_0_1_1445939773516_4334"/>
      <w:bookmarkStart w:id="38" w:name="yui_3_16_0_1_1445939773516_4332"/>
      <w:bookmarkEnd w:id="37"/>
      <w:bookmarkEnd w:id="38"/>
      <w:r>
        <w:rPr>
          <w:color w:val="CC3300"/>
          <w:sz w:val="28"/>
        </w:rPr>
        <w:t>:</w:t>
      </w:r>
    </w:p>
    <w:p w:rsidR="0083184F" w:rsidRDefault="0083184F">
      <w:pPr>
        <w:pStyle w:val="Textbody"/>
        <w:spacing w:after="0"/>
      </w:pPr>
      <w:bookmarkStart w:id="39" w:name="yui_3_16_0_1_1445939773516_4338"/>
      <w:bookmarkStart w:id="40" w:name="yui_3_16_0_1_1445939773516_4336"/>
      <w:bookmarkEnd w:id="39"/>
      <w:bookmarkEnd w:id="40"/>
    </w:p>
    <w:p w:rsidR="0083184F" w:rsidRDefault="00EF767C">
      <w:pPr>
        <w:pStyle w:val="Textbody"/>
        <w:spacing w:after="0"/>
      </w:pPr>
      <w:bookmarkStart w:id="41" w:name="yui_3_16_0_1_1445939773516_4340"/>
      <w:bookmarkEnd w:id="41"/>
      <w:r>
        <w:t>L'annonce à un jour d'intervalle des « </w:t>
      </w:r>
      <w:bookmarkStart w:id="42" w:name="yui_3_16_0_1_1445939773516_4342"/>
      <w:bookmarkEnd w:id="42"/>
      <w:r>
        <w:rPr>
          <w:i/>
        </w:rPr>
        <w:t xml:space="preserve">Compact </w:t>
      </w:r>
      <w:proofErr w:type="spellStart"/>
      <w:r>
        <w:rPr>
          <w:i/>
        </w:rPr>
        <w:t>agreements</w:t>
      </w:r>
      <w:proofErr w:type="spellEnd"/>
      <w:r>
        <w:t xml:space="preserve"> » avec le JISC d'une part, avec la Max Planck </w:t>
      </w:r>
      <w:proofErr w:type="spellStart"/>
      <w:r>
        <w:t>Gesellschaft</w:t>
      </w:r>
      <w:proofErr w:type="spellEnd"/>
      <w:r>
        <w:t xml:space="preserve"> d'autre part, relève d'une </w:t>
      </w:r>
      <w:r>
        <w:t xml:space="preserve">habile stratégie de communication. Springer vise à frapper les esprits par le prestige des deux institutions signataires de ces accords. Le JISC – dont la filiale </w:t>
      </w:r>
      <w:bookmarkStart w:id="43" w:name="yui_3_16_0_1_1445939773516_4344"/>
      <w:bookmarkEnd w:id="43"/>
      <w:r>
        <w:rPr>
          <w:i/>
        </w:rPr>
        <w:t>JISC Collections</w:t>
      </w:r>
      <w:r>
        <w:t xml:space="preserve"> a joué un rôle pionnier en Europe dans le développement de négociations cons</w:t>
      </w:r>
      <w:r>
        <w:t xml:space="preserve">ortiales pour l'achat de ressources documentaires numériques – jouit d'une grand estime au-delà </w:t>
      </w:r>
      <w:r>
        <w:lastRenderedPageBreak/>
        <w:t xml:space="preserve">des frontières britanniques. La Max Planck </w:t>
      </w:r>
      <w:proofErr w:type="spellStart"/>
      <w:r>
        <w:t>Gesellschaft</w:t>
      </w:r>
      <w:proofErr w:type="spellEnd"/>
      <w:r>
        <w:t xml:space="preserve"> est rien moins que la plus importante institution de recherche publique en Allemagne avec 17 300 employé</w:t>
      </w:r>
      <w:r>
        <w:t>s (dont 5500 chercheurs) et 2 Md € de budget (dont 1,7 Md. € de crédits publics). C'est derrière le CNRS la plus importante organisation de recherche publique en Europe.</w:t>
      </w:r>
    </w:p>
    <w:p w:rsidR="0083184F" w:rsidRDefault="0083184F">
      <w:pPr>
        <w:pStyle w:val="Textbody"/>
        <w:spacing w:after="0"/>
      </w:pPr>
      <w:bookmarkStart w:id="44" w:name="yui_3_16_0_1_1445939773516_4348"/>
      <w:bookmarkStart w:id="45" w:name="yui_3_16_0_1_1445939773516_4346"/>
      <w:bookmarkEnd w:id="44"/>
      <w:bookmarkEnd w:id="45"/>
    </w:p>
    <w:p w:rsidR="0083184F" w:rsidRDefault="00EF767C">
      <w:pPr>
        <w:pStyle w:val="Textbody"/>
        <w:spacing w:after="0"/>
        <w:rPr>
          <w:b/>
          <w:i/>
        </w:rPr>
      </w:pPr>
      <w:bookmarkStart w:id="46" w:name="yui_3_16_0_1_1445939773516_4354"/>
      <w:bookmarkStart w:id="47" w:name="yui_3_16_0_1_1445939773516_4352"/>
      <w:bookmarkStart w:id="48" w:name="yui_3_16_0_1_1445939773516_4350"/>
      <w:bookmarkEnd w:id="46"/>
      <w:bookmarkEnd w:id="47"/>
      <w:bookmarkEnd w:id="48"/>
      <w:r>
        <w:rPr>
          <w:b/>
          <w:i/>
        </w:rPr>
        <w:t>Une seule enveloppe budgétaire et une logique « </w:t>
      </w:r>
      <w:proofErr w:type="spellStart"/>
      <w:r>
        <w:rPr>
          <w:b/>
          <w:i/>
        </w:rPr>
        <w:t>Publish</w:t>
      </w:r>
      <w:proofErr w:type="spellEnd"/>
      <w:r>
        <w:rPr>
          <w:b/>
          <w:i/>
        </w:rPr>
        <w:t xml:space="preserve"> all </w:t>
      </w:r>
      <w:proofErr w:type="spellStart"/>
      <w:r>
        <w:rPr>
          <w:b/>
          <w:i/>
        </w:rPr>
        <w:t>you</w:t>
      </w:r>
      <w:proofErr w:type="spellEnd"/>
      <w:r>
        <w:rPr>
          <w:b/>
          <w:i/>
        </w:rPr>
        <w:t xml:space="preserve"> </w:t>
      </w:r>
      <w:proofErr w:type="spellStart"/>
      <w:r>
        <w:rPr>
          <w:b/>
          <w:i/>
        </w:rPr>
        <w:t>can</w:t>
      </w:r>
      <w:proofErr w:type="spellEnd"/>
      <w:r>
        <w:rPr>
          <w:b/>
          <w:i/>
        </w:rPr>
        <w:t> »</w:t>
      </w:r>
    </w:p>
    <w:p w:rsidR="0083184F" w:rsidRDefault="00EF767C">
      <w:pPr>
        <w:pStyle w:val="Textbody"/>
        <w:spacing w:after="0"/>
      </w:pPr>
      <w:bookmarkStart w:id="49" w:name="yui_3_16_0_1_1445939773516_4356"/>
      <w:bookmarkEnd w:id="49"/>
      <w:r>
        <w:t>A ce stade, les</w:t>
      </w:r>
      <w:r>
        <w:t xml:space="preserve"> détails concrets de ces </w:t>
      </w:r>
      <w:bookmarkStart w:id="50" w:name="yui_3_16_0_1_1445939773516_4358"/>
      <w:bookmarkEnd w:id="50"/>
      <w:r>
        <w:rPr>
          <w:i/>
        </w:rPr>
        <w:t xml:space="preserve">Compact </w:t>
      </w:r>
      <w:proofErr w:type="spellStart"/>
      <w:r>
        <w:rPr>
          <w:i/>
        </w:rPr>
        <w:t>Agreements</w:t>
      </w:r>
      <w:proofErr w:type="spellEnd"/>
      <w:r>
        <w:t xml:space="preserve"> n'ont pas été publiés. On peut cependant en imaginer les contours. La principale caractéristique est que l'accord </w:t>
      </w:r>
      <w:bookmarkStart w:id="51" w:name="yui_3_16_0_1_1445939773516_4360"/>
      <w:bookmarkEnd w:id="51"/>
      <w:r>
        <w:rPr>
          <w:i/>
        </w:rPr>
        <w:t xml:space="preserve">« combines </w:t>
      </w:r>
      <w:proofErr w:type="spellStart"/>
      <w:r>
        <w:rPr>
          <w:i/>
        </w:rPr>
        <w:t>reading</w:t>
      </w:r>
      <w:proofErr w:type="spellEnd"/>
      <w:r>
        <w:rPr>
          <w:i/>
        </w:rPr>
        <w:t xml:space="preserve"> and open </w:t>
      </w:r>
      <w:proofErr w:type="spellStart"/>
      <w:r>
        <w:rPr>
          <w:i/>
        </w:rPr>
        <w:t>access</w:t>
      </w:r>
      <w:proofErr w:type="spellEnd"/>
      <w:r>
        <w:rPr>
          <w:i/>
        </w:rPr>
        <w:t xml:space="preserve"> </w:t>
      </w:r>
      <w:proofErr w:type="spellStart"/>
      <w:r>
        <w:rPr>
          <w:i/>
        </w:rPr>
        <w:t>publishing</w:t>
      </w:r>
      <w:proofErr w:type="spellEnd"/>
      <w:r>
        <w:rPr>
          <w:i/>
        </w:rPr>
        <w:t xml:space="preserve"> in one </w:t>
      </w:r>
      <w:proofErr w:type="spellStart"/>
      <w:r>
        <w:rPr>
          <w:i/>
        </w:rPr>
        <w:t>payment</w:t>
      </w:r>
      <w:proofErr w:type="spellEnd"/>
      <w:r>
        <w:rPr>
          <w:i/>
        </w:rPr>
        <w:t xml:space="preserve"> </w:t>
      </w:r>
      <w:proofErr w:type="spellStart"/>
      <w:r>
        <w:rPr>
          <w:i/>
        </w:rPr>
        <w:t>scheme</w:t>
      </w:r>
      <w:proofErr w:type="spellEnd"/>
      <w:r>
        <w:rPr>
          <w:i/>
        </w:rPr>
        <w:t> »</w:t>
      </w:r>
      <w:r>
        <w:rPr>
          <w:rStyle w:val="Appelnotedebasdep"/>
          <w:i/>
        </w:rPr>
        <w:footnoteReference w:id="4"/>
      </w:r>
      <w:r>
        <w:rPr>
          <w:i/>
        </w:rPr>
        <w:t xml:space="preserve">. </w:t>
      </w:r>
      <w:bookmarkStart w:id="52" w:name="yui_3_16_0_1_1445939773516_4366"/>
      <w:bookmarkEnd w:id="52"/>
      <w:r>
        <w:t xml:space="preserve">En clair c'est une enveloppe unique qui est négociée dans le cadre des </w:t>
      </w:r>
      <w:bookmarkStart w:id="53" w:name="yui_3_16_0_1_1445939773516_4368"/>
      <w:bookmarkEnd w:id="53"/>
      <w:r>
        <w:rPr>
          <w:i/>
        </w:rPr>
        <w:t xml:space="preserve">Compact </w:t>
      </w:r>
      <w:proofErr w:type="spellStart"/>
      <w:r>
        <w:rPr>
          <w:i/>
        </w:rPr>
        <w:t>agreements</w:t>
      </w:r>
      <w:bookmarkStart w:id="54" w:name="yui_3_16_0_1_1445939773516_4370"/>
      <w:bookmarkEnd w:id="54"/>
      <w:proofErr w:type="spellEnd"/>
      <w:r>
        <w:t>. Dans les faits, et même si les notions d'abonnement et d'APC sont maintenues, ce qu'achètent les clients de Springer couverts par u</w:t>
      </w:r>
      <w:r>
        <w:t xml:space="preserve">n tel accord « compact » c'est </w:t>
      </w:r>
      <w:r>
        <w:rPr>
          <w:i/>
          <w:iCs/>
          <w:u w:val="single"/>
        </w:rPr>
        <w:t>un service global qui recouvre l'accès à l'ensemble des ressources documentaires numériques proposées par l'éditeur allemand mais aussi les coûts de traitement (APC) des articles publiés dans une revue en OA hybride Springer</w:t>
      </w:r>
      <w:r>
        <w:t>.</w:t>
      </w:r>
    </w:p>
    <w:p w:rsidR="0083184F" w:rsidRDefault="0083184F">
      <w:pPr>
        <w:pStyle w:val="Textbody"/>
        <w:spacing w:after="0"/>
      </w:pPr>
    </w:p>
    <w:p w:rsidR="0083184F" w:rsidRDefault="00EF767C">
      <w:pPr>
        <w:pStyle w:val="Textbody"/>
        <w:spacing w:after="0"/>
      </w:pPr>
      <w:r>
        <w:t xml:space="preserve">Il est probable que le montant de l'enveloppe négociée avec le JISC et la Max Planck </w:t>
      </w:r>
      <w:proofErr w:type="spellStart"/>
      <w:r>
        <w:t>Gesellschaft</w:t>
      </w:r>
      <w:proofErr w:type="spellEnd"/>
      <w:r>
        <w:t xml:space="preserve"> a été déterminé sur la base des budgets déjà négociés dans le cadre des accords antérieurs de « </w:t>
      </w:r>
      <w:proofErr w:type="spellStart"/>
      <w:r>
        <w:t>big</w:t>
      </w:r>
      <w:proofErr w:type="spellEnd"/>
      <w:r>
        <w:t xml:space="preserve"> deal » d'accès aux ressources documentaires, et sur la </w:t>
      </w:r>
      <w:r>
        <w:t>base constatée des montants d'APC payés aujourd'hui par ces institutions. Le tout assorti d'une clause de progression annuelle modérée de cette enveloppe globale pour anticiper la croissance probable du nombre d'articles publiés en OA natif dans les revues</w:t>
      </w:r>
      <w:r>
        <w:t xml:space="preserve"> Springer sur abonnement. Ces clauses sont inscrites dans des contrats pluriannuels qui pour le JISC et pour la Max Planck s'étendent jusqu'à fin 2018 (contrat triennal). </w:t>
      </w:r>
      <w:bookmarkStart w:id="55" w:name="yui_3_16_0_1_1445939773516_4374"/>
      <w:bookmarkStart w:id="56" w:name="yui_3_16_0_1_1445939773516_4372"/>
      <w:bookmarkEnd w:id="55"/>
      <w:bookmarkEnd w:id="56"/>
      <w:r>
        <w:rPr>
          <w:i/>
          <w:u w:val="single"/>
        </w:rPr>
        <w:t>Ces paramètres ont éventuellement vocation à être révisés à l'issue du contrat ou à i</w:t>
      </w:r>
      <w:r>
        <w:rPr>
          <w:i/>
          <w:u w:val="single"/>
        </w:rPr>
        <w:t>ntervalles réguliers, ces accords étant présentés par Springer comme des « pilotes »</w:t>
      </w:r>
      <w:bookmarkStart w:id="57" w:name="yui_3_16_0_1_1445939773516_4376"/>
      <w:bookmarkEnd w:id="57"/>
      <w:r>
        <w:t>.</w:t>
      </w:r>
    </w:p>
    <w:p w:rsidR="0083184F" w:rsidRDefault="0083184F">
      <w:pPr>
        <w:pStyle w:val="Textbody"/>
        <w:spacing w:after="0"/>
      </w:pPr>
    </w:p>
    <w:p w:rsidR="0083184F" w:rsidRDefault="00EF767C">
      <w:pPr>
        <w:pStyle w:val="Textbody"/>
        <w:spacing w:after="0"/>
      </w:pPr>
      <w:r>
        <w:t xml:space="preserve"> Dans le cadre d'un </w:t>
      </w:r>
      <w:bookmarkStart w:id="58" w:name="yui_3_16_0_1_1445939773516_4378"/>
      <w:bookmarkEnd w:id="58"/>
      <w:r>
        <w:rPr>
          <w:i/>
        </w:rPr>
        <w:t>Compact agreement</w:t>
      </w:r>
      <w:bookmarkStart w:id="59" w:name="yui_3_16_0_1_1445939773516_4380"/>
      <w:bookmarkEnd w:id="59"/>
      <w:r>
        <w:t xml:space="preserve"> il est probable que les chercheurs concernés disposent d'un droit de tirage illimité pour couvrir les APC lorsqu'un de leurs articl</w:t>
      </w:r>
      <w:r>
        <w:t xml:space="preserve">es est accepté par une revue Springer sur abonnement. </w:t>
      </w:r>
      <w:bookmarkStart w:id="60" w:name="yui_3_16_0_1_1445939773516_4384"/>
      <w:bookmarkStart w:id="61" w:name="yui_3_16_0_1_1445939773516_4382"/>
      <w:bookmarkEnd w:id="60"/>
      <w:bookmarkEnd w:id="61"/>
      <w:r>
        <w:rPr>
          <w:i/>
          <w:u w:val="single"/>
        </w:rPr>
        <w:t>Ce droit de tirage « illimité » (</w:t>
      </w:r>
      <w:proofErr w:type="spellStart"/>
      <w:r>
        <w:rPr>
          <w:i/>
          <w:u w:val="single"/>
        </w:rPr>
        <w:t>Publish</w:t>
      </w:r>
      <w:proofErr w:type="spellEnd"/>
      <w:r>
        <w:rPr>
          <w:i/>
          <w:u w:val="single"/>
        </w:rPr>
        <w:t xml:space="preserve"> all </w:t>
      </w:r>
      <w:proofErr w:type="spellStart"/>
      <w:r>
        <w:rPr>
          <w:i/>
          <w:u w:val="single"/>
        </w:rPr>
        <w:t>you</w:t>
      </w:r>
      <w:proofErr w:type="spellEnd"/>
      <w:r>
        <w:rPr>
          <w:i/>
          <w:u w:val="single"/>
        </w:rPr>
        <w:t xml:space="preserve"> </w:t>
      </w:r>
      <w:proofErr w:type="spellStart"/>
      <w:r>
        <w:rPr>
          <w:i/>
          <w:u w:val="single"/>
        </w:rPr>
        <w:t>can</w:t>
      </w:r>
      <w:proofErr w:type="spellEnd"/>
      <w:r>
        <w:rPr>
          <w:i/>
          <w:u w:val="single"/>
        </w:rPr>
        <w:t>)est probablement un argument fort de Springer puisqu'il réduit à néant toute barrière que pourrait rencontrer le chercheur s'agissant de la publicati</w:t>
      </w:r>
      <w:r>
        <w:rPr>
          <w:i/>
          <w:u w:val="single"/>
        </w:rPr>
        <w:t xml:space="preserve">on immédiate, sans embargo, de sa production scientifique </w:t>
      </w:r>
      <w:r>
        <w:t>lorsqu'elle a été acceptée par un comité de lecture Springer.</w:t>
      </w:r>
      <w:bookmarkStart w:id="62" w:name="yui_3_16_0_1_1445939773516_4386"/>
      <w:bookmarkEnd w:id="62"/>
      <w:r>
        <w:t xml:space="preserve"> En détachant la publication en OA hybride de toute logique comptable (autre que celle du « </w:t>
      </w:r>
      <w:proofErr w:type="spellStart"/>
      <w:r>
        <w:t>big</w:t>
      </w:r>
      <w:proofErr w:type="spellEnd"/>
      <w:r>
        <w:t xml:space="preserve"> deal » new-style qu'est le </w:t>
      </w:r>
      <w:bookmarkStart w:id="63" w:name="yui_3_16_0_1_1445939773516_4388"/>
      <w:bookmarkEnd w:id="63"/>
      <w:r>
        <w:rPr>
          <w:i/>
        </w:rPr>
        <w:t>Compact agreem</w:t>
      </w:r>
      <w:r>
        <w:rPr>
          <w:i/>
        </w:rPr>
        <w:t>ent</w:t>
      </w:r>
      <w:bookmarkStart w:id="64" w:name="yui_3_16_0_1_1445939773516_4390"/>
      <w:bookmarkEnd w:id="64"/>
      <w:r>
        <w:t>), Springer neutralise le facteur d'incertitude que constitue pour les communautés scientifiques le manque de prévisions fiables sur les volumes d'APC qu'ils auraient à supporter si ces APC devaient être payées sur une ligne de budget spécifique. Mais S</w:t>
      </w:r>
      <w:r>
        <w:t>pringer prend peu de risques en mettant au cœur de son nouvel argumentaire marketing cette possibilité de «</w:t>
      </w:r>
      <w:bookmarkStart w:id="65" w:name="yui_3_16_0_1_1445939773516_4392"/>
      <w:bookmarkEnd w:id="65"/>
      <w:proofErr w:type="spellStart"/>
      <w:r>
        <w:rPr>
          <w:i/>
        </w:rPr>
        <w:t>Publish</w:t>
      </w:r>
      <w:proofErr w:type="spellEnd"/>
      <w:r>
        <w:rPr>
          <w:i/>
        </w:rPr>
        <w:t xml:space="preserve"> all </w:t>
      </w:r>
      <w:proofErr w:type="spellStart"/>
      <w:r>
        <w:rPr>
          <w:i/>
        </w:rPr>
        <w:t>you</w:t>
      </w:r>
      <w:proofErr w:type="spellEnd"/>
      <w:r>
        <w:rPr>
          <w:i/>
        </w:rPr>
        <w:t xml:space="preserve"> </w:t>
      </w:r>
      <w:proofErr w:type="spellStart"/>
      <w:r>
        <w:rPr>
          <w:i/>
        </w:rPr>
        <w:t>can</w:t>
      </w:r>
      <w:bookmarkStart w:id="66" w:name="yui_3_16_0_1_1445939773516_4394"/>
      <w:bookmarkEnd w:id="66"/>
      <w:proofErr w:type="spellEnd"/>
      <w:r>
        <w:t> » : il a une connaissance fine des comportements de publication des chercheurs britanniques ou allemands et peut parfaitement ant</w:t>
      </w:r>
      <w:r>
        <w:t>iciper l'évolution du nombre d'articles publiés en OA dans ses revues hybrides.</w:t>
      </w:r>
    </w:p>
    <w:p w:rsidR="0083184F" w:rsidRDefault="0083184F">
      <w:pPr>
        <w:pStyle w:val="Textbody"/>
        <w:spacing w:after="0"/>
        <w:rPr>
          <w:i/>
          <w:u w:val="single"/>
        </w:rPr>
      </w:pPr>
    </w:p>
    <w:p w:rsidR="0083184F" w:rsidRDefault="00EF767C">
      <w:pPr>
        <w:pStyle w:val="Textbody"/>
        <w:spacing w:after="0"/>
      </w:pPr>
      <w:bookmarkStart w:id="67" w:name="yui_3_16_0_1_1445939773516_4398"/>
      <w:bookmarkStart w:id="68" w:name="yui_3_16_0_1_1445939773516_4396"/>
      <w:bookmarkEnd w:id="67"/>
      <w:bookmarkEnd w:id="68"/>
      <w:r>
        <w:rPr>
          <w:i/>
          <w:u w:val="single"/>
        </w:rPr>
        <w:t xml:space="preserve">Springer avec les Compact </w:t>
      </w:r>
      <w:proofErr w:type="spellStart"/>
      <w:r>
        <w:rPr>
          <w:i/>
          <w:u w:val="single"/>
        </w:rPr>
        <w:t>agreements</w:t>
      </w:r>
      <w:proofErr w:type="spellEnd"/>
      <w:r>
        <w:rPr>
          <w:i/>
          <w:u w:val="single"/>
        </w:rPr>
        <w:t xml:space="preserve"> réussit non seulement à sanctuariser son chiffre d'affaires (pour la partie de ses revenus qui est générée par les grandes institutions q</w:t>
      </w:r>
      <w:r>
        <w:rPr>
          <w:i/>
          <w:u w:val="single"/>
        </w:rPr>
        <w:t>ui ont signé un tel accord) mais aussi à inscrire dans ces nouveaux contrats la progression annuelle de ses revenus</w:t>
      </w:r>
      <w:bookmarkStart w:id="69" w:name="yui_3_16_0_1_1445939773516_4400"/>
      <w:bookmarkEnd w:id="69"/>
      <w:r>
        <w:t>. On est là en terrain connu : les accords de « </w:t>
      </w:r>
      <w:proofErr w:type="spellStart"/>
      <w:r>
        <w:t>big</w:t>
      </w:r>
      <w:proofErr w:type="spellEnd"/>
      <w:r>
        <w:t xml:space="preserve"> deal » qui ne concernaient que l'accès aux ressources documentaires numériques comportaie</w:t>
      </w:r>
      <w:r>
        <w:t>nt déjà des clauses de progression annuelle des sommes payées à Springer (ou aux autres éditeurs), en général de l'ordre de 3 à 5% l'an. L'édition scientifique est décidément une activité économique atypique puisque c'est l'un des rares secteurs d'activité</w:t>
      </w:r>
      <w:r>
        <w:t xml:space="preserve"> où un opérateur peut à la fois garantir son chiffre d'affaires et contractualiser avec ses grands clients une progression de ce chiffre d'affaires. Des conditions dont rêve toute entreprise, tous secteurs d'activité confondus.</w:t>
      </w:r>
    </w:p>
    <w:p w:rsidR="0083184F" w:rsidRDefault="0083184F">
      <w:pPr>
        <w:pStyle w:val="Textbody"/>
        <w:spacing w:after="0"/>
      </w:pPr>
      <w:bookmarkStart w:id="70" w:name="yui_3_16_0_1_1445939773516_4404"/>
      <w:bookmarkStart w:id="71" w:name="yui_3_16_0_1_1445939773516_4402"/>
      <w:bookmarkEnd w:id="70"/>
      <w:bookmarkEnd w:id="71"/>
    </w:p>
    <w:p w:rsidR="0083184F" w:rsidRDefault="0083184F">
      <w:pPr>
        <w:pStyle w:val="Textbody"/>
        <w:spacing w:after="0"/>
      </w:pPr>
      <w:bookmarkStart w:id="72" w:name="yui_3_16_0_1_1445939773516_4408"/>
      <w:bookmarkStart w:id="73" w:name="yui_3_16_0_1_1445939773516_4406"/>
      <w:bookmarkEnd w:id="72"/>
      <w:bookmarkEnd w:id="73"/>
    </w:p>
    <w:p w:rsidR="0083184F" w:rsidRDefault="00EF767C">
      <w:pPr>
        <w:pStyle w:val="Textbody"/>
        <w:spacing w:after="0"/>
        <w:rPr>
          <w:b/>
          <w:i/>
        </w:rPr>
      </w:pPr>
      <w:bookmarkStart w:id="74" w:name="yui_3_16_0_1_1445939773516_4414"/>
      <w:bookmarkStart w:id="75" w:name="yui_3_16_0_1_1445939773516_4412"/>
      <w:bookmarkStart w:id="76" w:name="yui_3_16_0_1_1445939773516_4410"/>
      <w:bookmarkEnd w:id="74"/>
      <w:bookmarkEnd w:id="75"/>
      <w:bookmarkEnd w:id="76"/>
      <w:r>
        <w:rPr>
          <w:b/>
          <w:i/>
        </w:rPr>
        <w:t>Des avantages concrets pou</w:t>
      </w:r>
      <w:r>
        <w:rPr>
          <w:b/>
          <w:i/>
        </w:rPr>
        <w:t>r les institutions signant un Compact agreement</w:t>
      </w:r>
    </w:p>
    <w:p w:rsidR="0083184F" w:rsidRDefault="00EF767C">
      <w:pPr>
        <w:pStyle w:val="Textbody"/>
        <w:spacing w:after="0"/>
      </w:pPr>
      <w:bookmarkStart w:id="77" w:name="yui_3_16_0_1_1445939773516_4418"/>
      <w:bookmarkStart w:id="78" w:name="yui_3_16_0_1_1445939773516_4416"/>
      <w:bookmarkEnd w:id="77"/>
      <w:bookmarkEnd w:id="78"/>
      <w:r>
        <w:t xml:space="preserve">On aurait tort de taxer la Max Planck </w:t>
      </w:r>
      <w:proofErr w:type="spellStart"/>
      <w:r>
        <w:t>Gesellschaft</w:t>
      </w:r>
      <w:proofErr w:type="spellEnd"/>
      <w:r>
        <w:t xml:space="preserve"> ou le JISC de naïveté dans la négociation de ces </w:t>
      </w:r>
      <w:bookmarkStart w:id="79" w:name="yui_3_16_0_1_1445939773516_4420"/>
      <w:bookmarkEnd w:id="79"/>
      <w:r>
        <w:rPr>
          <w:i/>
        </w:rPr>
        <w:t xml:space="preserve">Compact </w:t>
      </w:r>
      <w:proofErr w:type="spellStart"/>
      <w:r>
        <w:rPr>
          <w:i/>
        </w:rPr>
        <w:t>agreements</w:t>
      </w:r>
      <w:bookmarkStart w:id="80" w:name="yui_3_16_0_1_1445939773516_4422"/>
      <w:bookmarkEnd w:id="80"/>
      <w:proofErr w:type="spellEnd"/>
      <w:r>
        <w:t> : ces deux institutions disposent de négociateurs aguerris. Il y a trois ans la Max Planc</w:t>
      </w:r>
      <w:r>
        <w:t>k, alors renégociant son « </w:t>
      </w:r>
      <w:proofErr w:type="spellStart"/>
      <w:r>
        <w:t>big</w:t>
      </w:r>
      <w:proofErr w:type="spellEnd"/>
      <w:r>
        <w:t xml:space="preserve"> deal » d'accès aux ressources documentaires Springer, avait engagé avec ce dernier un bras de fer qui avait abouti à un blocage total pendant plusieurs mois de l'accès à ces ressources. Au final un accord avait été trouvé, Sp</w:t>
      </w:r>
      <w:r>
        <w:t xml:space="preserve">ringer mettant beaucoup d'eau dans son vin. Les institutions qui ont signé un </w:t>
      </w:r>
      <w:bookmarkStart w:id="81" w:name="yui_3_16_0_1_1445939773516_4424"/>
      <w:bookmarkEnd w:id="81"/>
      <w:r>
        <w:rPr>
          <w:i/>
        </w:rPr>
        <w:t>Compact agreement</w:t>
      </w:r>
      <w:bookmarkStart w:id="82" w:name="yui_3_16_0_1_1445939773516_4426"/>
      <w:bookmarkEnd w:id="82"/>
      <w:r>
        <w:t xml:space="preserve"> voient que ces accords, si on les aborde sous un angle pragmatique, offrent </w:t>
      </w:r>
      <w:bookmarkStart w:id="83" w:name="yui_3_16_0_1_1445939773516_4430"/>
      <w:bookmarkStart w:id="84" w:name="yui_3_16_0_1_1445939773516_4428"/>
      <w:bookmarkEnd w:id="83"/>
      <w:bookmarkEnd w:id="84"/>
      <w:r>
        <w:rPr>
          <w:i/>
          <w:u w:val="single"/>
        </w:rPr>
        <w:t xml:space="preserve">de nombreux avantages. Le plus important est de garantir la </w:t>
      </w:r>
      <w:proofErr w:type="spellStart"/>
      <w:r>
        <w:rPr>
          <w:i/>
          <w:u w:val="single"/>
        </w:rPr>
        <w:t>prévidibilité</w:t>
      </w:r>
      <w:proofErr w:type="spellEnd"/>
      <w:r>
        <w:rPr>
          <w:i/>
          <w:u w:val="single"/>
        </w:rPr>
        <w:t xml:space="preserve"> (de leur n</w:t>
      </w:r>
      <w:r>
        <w:rPr>
          <w:i/>
          <w:u w:val="single"/>
        </w:rPr>
        <w:t>iveau et de leur progression) dans le temps des budgets dédiés à l'information et à la communication scientifique, dans une enveloppe unique les réunissant</w:t>
      </w:r>
      <w:bookmarkStart w:id="85" w:name="yui_3_16_0_1_1445939773516_4432"/>
      <w:bookmarkEnd w:id="85"/>
      <w:r>
        <w:t>. Faute d'un historique long des dépenses d'APC, ces organisations manquent de visibilité sur l'évolu</w:t>
      </w:r>
      <w:r>
        <w:t>tion de cette ligne de dépense. Surtout si l'on entre dans une logique « </w:t>
      </w:r>
      <w:bookmarkStart w:id="86" w:name="yui_3_16_0_1_1445939773516_4434"/>
      <w:bookmarkEnd w:id="86"/>
      <w:proofErr w:type="spellStart"/>
      <w:r>
        <w:rPr>
          <w:i/>
        </w:rPr>
        <w:t>Publish</w:t>
      </w:r>
      <w:proofErr w:type="spellEnd"/>
      <w:r>
        <w:rPr>
          <w:i/>
        </w:rPr>
        <w:t xml:space="preserve"> all </w:t>
      </w:r>
      <w:proofErr w:type="spellStart"/>
      <w:r>
        <w:rPr>
          <w:i/>
        </w:rPr>
        <w:t>you</w:t>
      </w:r>
      <w:proofErr w:type="spellEnd"/>
      <w:r>
        <w:rPr>
          <w:i/>
        </w:rPr>
        <w:t xml:space="preserve"> </w:t>
      </w:r>
      <w:proofErr w:type="spellStart"/>
      <w:r>
        <w:rPr>
          <w:i/>
        </w:rPr>
        <w:t>can</w:t>
      </w:r>
      <w:proofErr w:type="spellEnd"/>
      <w:r>
        <w:rPr>
          <w:i/>
        </w:rPr>
        <w:t> </w:t>
      </w:r>
      <w:bookmarkStart w:id="87" w:name="yui_3_16_0_1_1445939773516_4436"/>
      <w:bookmarkEnd w:id="87"/>
      <w:r>
        <w:t xml:space="preserve">». </w:t>
      </w:r>
      <w:bookmarkStart w:id="88" w:name="yui_3_16_0_1_1445939773516_4440"/>
      <w:bookmarkStart w:id="89" w:name="yui_3_16_0_1_1445939773516_4438"/>
      <w:bookmarkEnd w:id="88"/>
      <w:bookmarkEnd w:id="89"/>
      <w:r>
        <w:rPr>
          <w:i/>
          <w:u w:val="single"/>
        </w:rPr>
        <w:t>Les organisations « </w:t>
      </w:r>
      <w:proofErr w:type="spellStart"/>
      <w:r>
        <w:rPr>
          <w:i/>
          <w:u w:val="single"/>
        </w:rPr>
        <w:t>Research</w:t>
      </w:r>
      <w:proofErr w:type="spellEnd"/>
      <w:r>
        <w:rPr>
          <w:i/>
          <w:u w:val="single"/>
        </w:rPr>
        <w:t xml:space="preserve"> intensive » craignent une explosion de leurs budgets APC </w:t>
      </w:r>
      <w:bookmarkStart w:id="90" w:name="yui_3_16_0_1_1445939773516_4442"/>
      <w:bookmarkEnd w:id="90"/>
      <w:r>
        <w:t xml:space="preserve">: </w:t>
      </w:r>
      <w:bookmarkStart w:id="91" w:name="yui_3_16_0_1_1445939773516_4448"/>
      <w:bookmarkStart w:id="92" w:name="yui_3_16_0_1_1445939773516_4446"/>
      <w:bookmarkStart w:id="93" w:name="yui_3_16_0_1_1445939773516_4444"/>
      <w:bookmarkEnd w:id="91"/>
      <w:bookmarkEnd w:id="92"/>
      <w:bookmarkEnd w:id="93"/>
      <w:r>
        <w:t>à titre d’exemple</w:t>
      </w:r>
      <w:r>
        <w:rPr>
          <w:rStyle w:val="Appelnotedebasdep"/>
        </w:rPr>
        <w:footnoteReference w:id="5"/>
      </w:r>
      <w:r>
        <w:t xml:space="preserve">, la </w:t>
      </w:r>
      <w:bookmarkStart w:id="94" w:name="yui_3_16_0_1_1445939773516_4456"/>
      <w:bookmarkStart w:id="95" w:name="yui_3_16_0_1_1445939773516_4454"/>
      <w:bookmarkEnd w:id="94"/>
      <w:bookmarkEnd w:id="95"/>
      <w:r>
        <w:t xml:space="preserve">généralisation de l’Open Access Gold aurait pour le CNRS (et plus largement </w:t>
      </w:r>
      <w:r>
        <w:t>pour les organismes de recherche publics français) des coûts peu soutenables : le budget annuel d'achat de ressources documentaires du premier organisme de recherche mondial qu'est le CNRS est de l'ordre de 15 M€ et 43 000 articles/an (hors SHS)</w:t>
      </w:r>
      <w:r>
        <w:rPr>
          <w:rStyle w:val="Appelnotedebasdep"/>
        </w:rPr>
        <w:footnoteReference w:id="6"/>
      </w:r>
      <w:r>
        <w:t xml:space="preserve">sont signés ou cosignés par des chercheurs CNRS. Si l'on fait l'hypothèse qu'un tiers de ces articles, où les chercheurs CNRS sont auteurs de correspondance, ouvrent droit à paiement </w:t>
      </w:r>
      <w:r>
        <w:t>d'APC de l'ordre de 2 200€/article (montant moyen des APC chez Springer dans les revues hybrides), cette enveloppe APC à elle seule représenterait 31,5M€, le CNRS devant par ailleurs maintenir ses budgets d'abonnements puisqu'il est irréaliste d'imaginer u</w:t>
      </w:r>
      <w:r>
        <w:t>n basculement global des publications dans un modèle OA (lire ci-dessous). Ce type de calcul est valable, à proportion de leur production d'articles scientifiques, pour tous les organismes et les universités « </w:t>
      </w:r>
      <w:bookmarkStart w:id="96" w:name="yui_3_16_0_1_1445939773516_4462"/>
      <w:bookmarkStart w:id="97" w:name="yui_3_16_0_1_1445939773516_4460"/>
      <w:bookmarkStart w:id="98" w:name="yui_3_16_0_1_1445939773516_4458"/>
      <w:bookmarkEnd w:id="96"/>
      <w:bookmarkEnd w:id="97"/>
      <w:bookmarkEnd w:id="98"/>
      <w:proofErr w:type="spellStart"/>
      <w:r>
        <w:rPr>
          <w:i/>
        </w:rPr>
        <w:t>Research</w:t>
      </w:r>
      <w:proofErr w:type="spellEnd"/>
      <w:r>
        <w:rPr>
          <w:i/>
        </w:rPr>
        <w:t xml:space="preserve"> Intensive</w:t>
      </w:r>
      <w:bookmarkStart w:id="99" w:name="yui_3_16_0_1_1445939773516_4466"/>
      <w:bookmarkStart w:id="100" w:name="yui_3_16_0_1_1445939773516_4464"/>
      <w:bookmarkEnd w:id="99"/>
      <w:bookmarkEnd w:id="100"/>
      <w:r>
        <w:t> ».</w:t>
      </w:r>
    </w:p>
    <w:p w:rsidR="0083184F" w:rsidRDefault="0083184F">
      <w:pPr>
        <w:pStyle w:val="Textbody"/>
        <w:spacing w:after="0"/>
      </w:pPr>
      <w:bookmarkStart w:id="101" w:name="yui_3_16_0_1_1445939773516_4470"/>
      <w:bookmarkStart w:id="102" w:name="yui_3_16_0_1_1445939773516_4468"/>
      <w:bookmarkEnd w:id="101"/>
      <w:bookmarkEnd w:id="102"/>
    </w:p>
    <w:p w:rsidR="0083184F" w:rsidRDefault="00EF767C">
      <w:pPr>
        <w:pStyle w:val="Textbody"/>
        <w:spacing w:after="0"/>
      </w:pPr>
      <w:bookmarkStart w:id="103" w:name="yui_3_16_0_1_1445939773516_4476"/>
      <w:bookmarkStart w:id="104" w:name="yui_3_16_0_1_1445939773516_4474"/>
      <w:bookmarkStart w:id="105" w:name="yui_3_16_0_1_1445939773516_4472"/>
      <w:bookmarkEnd w:id="103"/>
      <w:bookmarkEnd w:id="104"/>
      <w:bookmarkEnd w:id="105"/>
      <w:r>
        <w:t>Dans la phase de mutati</w:t>
      </w:r>
      <w:r>
        <w:t>on en cours du modèle économique de la publication scientifique cette superposition et cette addition des coûts d'abonnement et des coûts d'APC sont désignées du terme de «</w:t>
      </w:r>
      <w:bookmarkStart w:id="106" w:name="yui_3_16_0_1_1445939773516_4482"/>
      <w:bookmarkStart w:id="107" w:name="yui_3_16_0_1_1445939773516_4480"/>
      <w:bookmarkStart w:id="108" w:name="yui_3_16_0_1_1445939773516_4478"/>
      <w:bookmarkEnd w:id="106"/>
      <w:bookmarkEnd w:id="107"/>
      <w:bookmarkEnd w:id="108"/>
      <w:r>
        <w:t> </w:t>
      </w:r>
      <w:r>
        <w:rPr>
          <w:i/>
        </w:rPr>
        <w:t xml:space="preserve">double </w:t>
      </w:r>
      <w:proofErr w:type="spellStart"/>
      <w:r>
        <w:rPr>
          <w:i/>
        </w:rPr>
        <w:t>dipping</w:t>
      </w:r>
      <w:proofErr w:type="spellEnd"/>
      <w:r>
        <w:rPr>
          <w:i/>
        </w:rPr>
        <w:t> </w:t>
      </w:r>
      <w:bookmarkStart w:id="109" w:name="yui_3_16_0_1_1445939773516_4486"/>
      <w:bookmarkStart w:id="110" w:name="yui_3_16_0_1_1445939773516_4484"/>
      <w:bookmarkEnd w:id="109"/>
      <w:bookmarkEnd w:id="110"/>
      <w:r>
        <w:t>». Tous les organismes de recherche craignent à juste titre ce phéno</w:t>
      </w:r>
      <w:r>
        <w:t xml:space="preserve">mène dont l'exemple du CNRS démontre la potentielle ampleur. </w:t>
      </w:r>
      <w:bookmarkStart w:id="111" w:name="yui_3_16_0_1_1445939773516_4494"/>
      <w:bookmarkStart w:id="112" w:name="yui_3_16_0_1_1445939773516_4492"/>
      <w:bookmarkStart w:id="113" w:name="yui_3_16_0_1_1445939773516_4490"/>
      <w:bookmarkStart w:id="114" w:name="yui_3_16_0_1_1445939773516_4488"/>
      <w:bookmarkEnd w:id="111"/>
      <w:bookmarkEnd w:id="112"/>
      <w:bookmarkEnd w:id="113"/>
      <w:bookmarkEnd w:id="114"/>
      <w:r>
        <w:rPr>
          <w:i/>
          <w:u w:val="single"/>
        </w:rPr>
        <w:t xml:space="preserve">En garantissant une </w:t>
      </w:r>
      <w:proofErr w:type="spellStart"/>
      <w:r>
        <w:rPr>
          <w:i/>
          <w:u w:val="single"/>
        </w:rPr>
        <w:t>prévidibilité</w:t>
      </w:r>
      <w:proofErr w:type="spellEnd"/>
      <w:r>
        <w:rPr>
          <w:i/>
          <w:u w:val="single"/>
        </w:rPr>
        <w:t xml:space="preserve"> totale de l'enveloppe « abonnements »+ « APC », Springer désamorce toute inquiétude majeure de ses grands clients liée au double </w:t>
      </w:r>
      <w:proofErr w:type="spellStart"/>
      <w:r>
        <w:rPr>
          <w:i/>
          <w:u w:val="single"/>
        </w:rPr>
        <w:t>dipping</w:t>
      </w:r>
      <w:bookmarkStart w:id="115" w:name="yui_3_16_0_1_1445939773516_4498"/>
      <w:bookmarkStart w:id="116" w:name="yui_3_16_0_1_1445939773516_4496"/>
      <w:bookmarkEnd w:id="115"/>
      <w:bookmarkEnd w:id="116"/>
      <w:proofErr w:type="spellEnd"/>
      <w:r>
        <w:t xml:space="preserve">. En effet le </w:t>
      </w:r>
      <w:bookmarkStart w:id="117" w:name="yui_3_16_0_1_1445939773516_4504"/>
      <w:bookmarkStart w:id="118" w:name="yui_3_16_0_1_1445939773516_4502"/>
      <w:bookmarkStart w:id="119" w:name="yui_3_16_0_1_1445939773516_4500"/>
      <w:bookmarkEnd w:id="117"/>
      <w:bookmarkEnd w:id="118"/>
      <w:bookmarkEnd w:id="119"/>
      <w:r>
        <w:rPr>
          <w:i/>
        </w:rPr>
        <w:t>Compact Agr</w:t>
      </w:r>
      <w:r>
        <w:rPr>
          <w:i/>
        </w:rPr>
        <w:t>eement</w:t>
      </w:r>
      <w:bookmarkStart w:id="120" w:name="yui_3_16_0_1_1445939773516_4508"/>
      <w:bookmarkStart w:id="121" w:name="yui_3_16_0_1_1445939773516_4506"/>
      <w:bookmarkEnd w:id="120"/>
      <w:bookmarkEnd w:id="121"/>
      <w:r>
        <w:t>, par construction, met fin (en théorie) à ce problème : dans le cadre d'une enveloppe globale à somme nulle (ou à progression limitée et arrêtée a priori) tout paiement d'APC (paiement complètement virtuel) est défalqué du budget « abonnements » (to</w:t>
      </w:r>
      <w:r>
        <w:t>ut aussi virtuel)</w:t>
      </w:r>
      <w:r>
        <w:rPr>
          <w:rStyle w:val="Appelnotedebasdep"/>
        </w:rPr>
        <w:footnoteReference w:id="7"/>
      </w:r>
      <w:r>
        <w:t xml:space="preserve">. </w:t>
      </w:r>
      <w:bookmarkStart w:id="122" w:name="yui_3_16_0_1_1445939773516_4516"/>
      <w:bookmarkStart w:id="123" w:name="yui_3_16_0_1_1445939773516_4514"/>
      <w:bookmarkStart w:id="124" w:name="yui_3_16_0_1_1445939773516_4512"/>
      <w:bookmarkStart w:id="125" w:name="yui_3_16_0_1_1445939773516_4510"/>
      <w:bookmarkEnd w:id="122"/>
      <w:bookmarkEnd w:id="123"/>
      <w:bookmarkEnd w:id="124"/>
      <w:bookmarkEnd w:id="125"/>
      <w:r>
        <w:rPr>
          <w:i/>
          <w:iCs/>
          <w:u w:val="single"/>
        </w:rPr>
        <w:t>En clair</w:t>
      </w:r>
      <w:r>
        <w:rPr>
          <w:i/>
          <w:iCs/>
          <w:u w:val="single"/>
        </w:rPr>
        <w:t xml:space="preserve"> Springer est prêt à publier en OA natif tous les articles émanant de chercheurs affiliés aux institutions « grand compte » ayant signé un Compact agreement, pourvu que ces accords garantissent son chiffre d'affaires et sa marge.</w:t>
      </w:r>
      <w:r>
        <w:rPr>
          <w:i/>
          <w:iCs/>
        </w:rPr>
        <w:t xml:space="preserve"> </w:t>
      </w:r>
      <w:r>
        <w:t xml:space="preserve">Cette réponse apportée au </w:t>
      </w:r>
      <w:r>
        <w:t>problème du double-</w:t>
      </w:r>
      <w:proofErr w:type="spellStart"/>
      <w:r>
        <w:t>dipping</w:t>
      </w:r>
      <w:proofErr w:type="spellEnd"/>
      <w:r>
        <w:t xml:space="preserve"> est une carte tactique importante dans les mains de Springer et c'est sans doute cet argument qui a paru le plus convaincant au JISC et à la Max Planck </w:t>
      </w:r>
      <w:proofErr w:type="spellStart"/>
      <w:r>
        <w:t>Gesellschaft</w:t>
      </w:r>
      <w:proofErr w:type="spellEnd"/>
      <w:r>
        <w:t>.</w:t>
      </w:r>
    </w:p>
    <w:p w:rsidR="0083184F" w:rsidRDefault="0083184F">
      <w:pPr>
        <w:pStyle w:val="Textbody"/>
        <w:spacing w:after="0"/>
      </w:pPr>
      <w:bookmarkStart w:id="126" w:name="yui_3_16_0_1_1445939773516_4520"/>
      <w:bookmarkStart w:id="127" w:name="yui_3_16_0_1_1445939773516_4518"/>
      <w:bookmarkEnd w:id="126"/>
      <w:bookmarkEnd w:id="127"/>
    </w:p>
    <w:p w:rsidR="0083184F" w:rsidRDefault="0083184F">
      <w:pPr>
        <w:pStyle w:val="Textbody"/>
        <w:spacing w:after="0"/>
      </w:pPr>
      <w:bookmarkStart w:id="128" w:name="yui_3_16_0_1_1445939773516_4524"/>
      <w:bookmarkStart w:id="129" w:name="yui_3_16_0_1_1445939773516_4522"/>
      <w:bookmarkEnd w:id="128"/>
      <w:bookmarkEnd w:id="129"/>
    </w:p>
    <w:p w:rsidR="0083184F" w:rsidRDefault="00EF767C">
      <w:pPr>
        <w:pStyle w:val="Textbody"/>
        <w:spacing w:after="0"/>
        <w:rPr>
          <w:b/>
          <w:i/>
        </w:rPr>
      </w:pPr>
      <w:bookmarkStart w:id="130" w:name="yui_3_16_0_1_1445939773516_4534"/>
      <w:bookmarkStart w:id="131" w:name="yui_3_16_0_1_1445939773516_4532"/>
      <w:bookmarkStart w:id="132" w:name="yui_3_16_0_1_1445939773516_4530"/>
      <w:bookmarkStart w:id="133" w:name="yui_3_16_0_1_1445939773516_4528"/>
      <w:bookmarkStart w:id="134" w:name="yui_3_16_0_1_1445939773516_4526"/>
      <w:bookmarkEnd w:id="130"/>
      <w:bookmarkEnd w:id="131"/>
      <w:bookmarkEnd w:id="132"/>
      <w:bookmarkEnd w:id="133"/>
      <w:bookmarkEnd w:id="134"/>
      <w:r>
        <w:rPr>
          <w:b/>
          <w:i/>
        </w:rPr>
        <w:t>Springer propose une baisse drastique des coûts de transactio</w:t>
      </w:r>
      <w:r>
        <w:rPr>
          <w:b/>
          <w:i/>
        </w:rPr>
        <w:t>ns liés à la publication en OA</w:t>
      </w:r>
    </w:p>
    <w:p w:rsidR="0083184F" w:rsidRDefault="00EF767C">
      <w:pPr>
        <w:pStyle w:val="Textbody"/>
        <w:spacing w:after="0"/>
      </w:pPr>
      <w:bookmarkStart w:id="135" w:name="yui_3_16_0_1_1445939773516_4540"/>
      <w:bookmarkStart w:id="136" w:name="yui_3_16_0_1_1445939773516_4538"/>
      <w:bookmarkStart w:id="137" w:name="yui_3_16_0_1_1445939773516_4536"/>
      <w:bookmarkEnd w:id="135"/>
      <w:bookmarkEnd w:id="136"/>
      <w:bookmarkEnd w:id="137"/>
      <w:r>
        <w:t xml:space="preserve">Un autre avantage pratique important de ces nouveaux types de </w:t>
      </w:r>
      <w:proofErr w:type="spellStart"/>
      <w:r>
        <w:t>big</w:t>
      </w:r>
      <w:proofErr w:type="spellEnd"/>
      <w:r>
        <w:t>-deal est qu'ils réduisent, pour les institutions concernées, à presque rien les coûts de gestion: tant pour le « paiement » des APC que pour l'accès aux ressou</w:t>
      </w:r>
      <w:r>
        <w:t>rces documentaires numériques le simple fait pour le chercheur couvert par ces accords de n'avoir à mentionner qu'un identifiant d' « ayant-droit » le dégage de toute transaction à son niveau ou à celui de son unité. A une myriade de transactions individue</w:t>
      </w:r>
      <w:r>
        <w:t xml:space="preserve">lles se substitue une transaction unique, celle du </w:t>
      </w:r>
      <w:bookmarkStart w:id="138" w:name="yui_3_16_0_1_1445939773516_4546"/>
      <w:bookmarkStart w:id="139" w:name="yui_3_16_0_1_1445939773516_4544"/>
      <w:bookmarkStart w:id="140" w:name="yui_3_16_0_1_1445939773516_4542"/>
      <w:bookmarkEnd w:id="138"/>
      <w:bookmarkEnd w:id="139"/>
      <w:bookmarkEnd w:id="140"/>
      <w:r>
        <w:rPr>
          <w:i/>
        </w:rPr>
        <w:t>Compact agreement</w:t>
      </w:r>
      <w:bookmarkStart w:id="141" w:name="yui_3_16_0_1_1445939773516_4550"/>
      <w:bookmarkStart w:id="142" w:name="yui_3_16_0_1_1445939773516_4548"/>
      <w:bookmarkEnd w:id="141"/>
      <w:bookmarkEnd w:id="142"/>
      <w:r>
        <w:rPr>
          <w:rStyle w:val="Appelnotedebasdep"/>
          <w:i/>
        </w:rPr>
        <w:footnoteReference w:id="8"/>
      </w:r>
      <w:r>
        <w:rPr>
          <w:i/>
        </w:rPr>
        <w:t>.</w:t>
      </w:r>
      <w:r>
        <w:t xml:space="preserve"> Cet abaissement des « coûts de transactions» dans le cadre d'une publication dans une revue Springer sur abonnemen</w:t>
      </w:r>
      <w:r>
        <w:t xml:space="preserve">t (et seulement de celles-là, la publication en revues en libre accès - celles de </w:t>
      </w:r>
      <w:proofErr w:type="spellStart"/>
      <w:r>
        <w:t>Biomed</w:t>
      </w:r>
      <w:proofErr w:type="spellEnd"/>
      <w:r>
        <w:t xml:space="preserve"> Central par exemple - ne sont pas concernées) est un point essentiel jusqu'ici mal perçu : si l'on dispose de peu de données concrètes, il ne fait guère de doute que l</w:t>
      </w:r>
      <w:r>
        <w:t>a gestion des budgets APC au niveau du chercheur ou de son unité aurait des coûts indirects importants</w:t>
      </w:r>
      <w:r>
        <w:rPr>
          <w:rStyle w:val="Appelnotedebasdep"/>
        </w:rPr>
        <w:footnoteReference w:id="9"/>
      </w:r>
      <w:r>
        <w:t xml:space="preserve">. </w:t>
      </w:r>
      <w:bookmarkStart w:id="143" w:name="yui_3_16_0_1_1445939773516_4566"/>
      <w:bookmarkStart w:id="144" w:name="yui_3_16_0_1_1445939773516_4564"/>
      <w:bookmarkStart w:id="145" w:name="yui_3_16_0_1_1445939773516_4562"/>
      <w:bookmarkStart w:id="146" w:name="yui_3_16_0_1_1445939773516_4560"/>
      <w:bookmarkEnd w:id="143"/>
      <w:bookmarkEnd w:id="144"/>
      <w:bookmarkEnd w:id="145"/>
      <w:bookmarkEnd w:id="146"/>
      <w:r>
        <w:rPr>
          <w:i/>
          <w:u w:val="single"/>
        </w:rPr>
        <w:t>Springer a compris et a</w:t>
      </w:r>
      <w:r>
        <w:rPr>
          <w:i/>
          <w:u w:val="single"/>
        </w:rPr>
        <w:t>nticipé cette question peu étudiée des coûts de transactions qui a vocation à devenir un thème essentiel des débats sur l'OA. Il propose à ses clients de réduire quasiment à zéro ce poste de coûts</w:t>
      </w:r>
      <w:bookmarkStart w:id="147" w:name="yui_3_16_0_1_1445939773516_4570"/>
      <w:bookmarkStart w:id="148" w:name="yui_3_16_0_1_1445939773516_4568"/>
      <w:bookmarkEnd w:id="147"/>
      <w:bookmarkEnd w:id="148"/>
      <w:r>
        <w:t xml:space="preserve"> (soulignant aussi l'effet « zéro tracas ») grâce au </w:t>
      </w:r>
      <w:proofErr w:type="spellStart"/>
      <w:r>
        <w:t>big</w:t>
      </w:r>
      <w:proofErr w:type="spellEnd"/>
      <w:r>
        <w:t>-dea</w:t>
      </w:r>
      <w:r>
        <w:t xml:space="preserve">l de nouvelle génération qu'est un </w:t>
      </w:r>
      <w:bookmarkStart w:id="149" w:name="yui_3_16_0_1_1445939773516_4576"/>
      <w:bookmarkStart w:id="150" w:name="yui_3_16_0_1_1445939773516_4574"/>
      <w:bookmarkStart w:id="151" w:name="yui_3_16_0_1_1445939773516_4572"/>
      <w:bookmarkEnd w:id="149"/>
      <w:bookmarkEnd w:id="150"/>
      <w:bookmarkEnd w:id="151"/>
      <w:r>
        <w:rPr>
          <w:i/>
        </w:rPr>
        <w:t>Compact agreement</w:t>
      </w:r>
      <w:bookmarkStart w:id="152" w:name="yui_3_16_0_1_1445939773516_4580"/>
      <w:bookmarkStart w:id="153" w:name="yui_3_16_0_1_1445939773516_4578"/>
      <w:bookmarkEnd w:id="152"/>
      <w:bookmarkEnd w:id="153"/>
      <w:r>
        <w:t xml:space="preserve">. C'est là un point important dans la logique pragmatique qui est celle du JISC ou de la Max Planck </w:t>
      </w:r>
      <w:proofErr w:type="spellStart"/>
      <w:r>
        <w:t>Gesellschaft</w:t>
      </w:r>
      <w:proofErr w:type="spellEnd"/>
      <w:r>
        <w:t xml:space="preserve">. </w:t>
      </w:r>
      <w:bookmarkStart w:id="154" w:name="yui_3_16_0_1_1445939773516_4586"/>
      <w:bookmarkStart w:id="155" w:name="yui_3_16_0_1_1445939773516_4584"/>
      <w:bookmarkStart w:id="156" w:name="yui_3_16_0_1_1445939773516_4582"/>
      <w:bookmarkEnd w:id="154"/>
      <w:bookmarkEnd w:id="155"/>
      <w:bookmarkEnd w:id="156"/>
      <w:r>
        <w:t xml:space="preserve">Au chapitre de l'intérêt bien compris de ces deux institutions à souscrire des </w:t>
      </w:r>
      <w:bookmarkStart w:id="157" w:name="yui_3_16_0_1_1445939773516_4592"/>
      <w:bookmarkStart w:id="158" w:name="yui_3_16_0_1_1445939773516_4590"/>
      <w:bookmarkStart w:id="159" w:name="yui_3_16_0_1_1445939773516_4588"/>
      <w:bookmarkEnd w:id="157"/>
      <w:bookmarkEnd w:id="158"/>
      <w:bookmarkEnd w:id="159"/>
      <w:r>
        <w:rPr>
          <w:i/>
        </w:rPr>
        <w:t xml:space="preserve">Compact </w:t>
      </w:r>
      <w:proofErr w:type="spellStart"/>
      <w:r>
        <w:rPr>
          <w:i/>
        </w:rPr>
        <w:t>agr</w:t>
      </w:r>
      <w:r>
        <w:rPr>
          <w:i/>
        </w:rPr>
        <w:t>eements</w:t>
      </w:r>
      <w:bookmarkStart w:id="160" w:name="yui_3_16_0_1_1445939773516_4598"/>
      <w:bookmarkStart w:id="161" w:name="yui_3_16_0_1_1445939773516_4596"/>
      <w:bookmarkStart w:id="162" w:name="yui_3_16_0_1_1445939773516_4594"/>
      <w:bookmarkEnd w:id="160"/>
      <w:bookmarkEnd w:id="161"/>
      <w:bookmarkEnd w:id="162"/>
      <w:proofErr w:type="spellEnd"/>
      <w:r>
        <w:t xml:space="preserve">, il faut ajouter que </w:t>
      </w:r>
      <w:bookmarkStart w:id="163" w:name="yui_3_16_0_1_1445939773516_4606"/>
      <w:bookmarkStart w:id="164" w:name="yui_3_16_0_1_1445939773516_4604"/>
      <w:bookmarkStart w:id="165" w:name="yui_3_16_0_1_1445939773516_4602"/>
      <w:bookmarkStart w:id="166" w:name="yui_3_16_0_1_1445939773516_4600"/>
      <w:bookmarkEnd w:id="163"/>
      <w:bookmarkEnd w:id="164"/>
      <w:bookmarkEnd w:id="165"/>
      <w:bookmarkEnd w:id="166"/>
      <w:r>
        <w:rPr>
          <w:i/>
          <w:u w:val="single"/>
        </w:rPr>
        <w:t>Springer, soucieux d'engranger ces deux références-client prestigieuses, leur aura sans doute consenti des conditions très avantageuses, par exemple s'agissant du niveau nominal des APC retenu dans le cadre de l'accord</w:t>
      </w:r>
      <w:bookmarkStart w:id="167" w:name="yui_3_16_0_1_1445939773516_4612"/>
      <w:bookmarkStart w:id="168" w:name="yui_3_16_0_1_1445939773516_4610"/>
      <w:bookmarkStart w:id="169" w:name="yui_3_16_0_1_1445939773516_4608"/>
      <w:bookmarkEnd w:id="167"/>
      <w:bookmarkEnd w:id="168"/>
      <w:bookmarkEnd w:id="169"/>
      <w:r>
        <w:t>.</w:t>
      </w:r>
    </w:p>
    <w:p w:rsidR="0083184F" w:rsidRDefault="0083184F">
      <w:pPr>
        <w:pStyle w:val="Textbody"/>
        <w:spacing w:after="0"/>
      </w:pPr>
      <w:bookmarkStart w:id="170" w:name="yui_3_16_0_1_1445939773516_4616"/>
      <w:bookmarkStart w:id="171" w:name="yui_3_16_0_1_1445939773516_4614"/>
      <w:bookmarkEnd w:id="170"/>
      <w:bookmarkEnd w:id="171"/>
    </w:p>
    <w:p w:rsidR="0083184F" w:rsidRDefault="00EF767C">
      <w:pPr>
        <w:pStyle w:val="Textbody"/>
        <w:spacing w:after="0"/>
      </w:pPr>
      <w:bookmarkStart w:id="172" w:name="yui_3_16_0_1_1445939773516_4622"/>
      <w:bookmarkStart w:id="173" w:name="yui_3_16_0_1_1445939773516_4620"/>
      <w:bookmarkStart w:id="174" w:name="yui_3_16_0_1_1445939773516_4618"/>
      <w:bookmarkEnd w:id="172"/>
      <w:bookmarkEnd w:id="173"/>
      <w:bookmarkEnd w:id="174"/>
      <w:r>
        <w:rPr>
          <w:b/>
          <w:i/>
        </w:rPr>
        <w:t>Le JIS</w:t>
      </w:r>
      <w:r>
        <w:rPr>
          <w:b/>
          <w:i/>
        </w:rPr>
        <w:t>C et la Max Planck veulent accélérer le développement du libre accès suivant la voie dorée</w:t>
      </w:r>
    </w:p>
    <w:p w:rsidR="0083184F" w:rsidRDefault="00EF767C">
      <w:pPr>
        <w:pStyle w:val="Textbody"/>
        <w:spacing w:after="0"/>
      </w:pPr>
      <w:bookmarkStart w:id="175" w:name="yui_3_16_0_1_1445939773516_4624"/>
      <w:bookmarkEnd w:id="175"/>
      <w:r>
        <w:t xml:space="preserve">Il serait cependant réducteur de penser que le JISC et la Max Planck </w:t>
      </w:r>
      <w:proofErr w:type="spellStart"/>
      <w:r>
        <w:t>Gesellschaft</w:t>
      </w:r>
      <w:proofErr w:type="spellEnd"/>
      <w:r>
        <w:t xml:space="preserve"> ont signé avec Springer pour des raisons uniquement pécuniaires et pragmatiques. L'</w:t>
      </w:r>
      <w:r>
        <w:t xml:space="preserve">un et l'autre de ces organismes sont de longue date des partisans de la publication scientifique en libre accès dès parution, donc sans délais d'embargo, ce que permet la publication en OA dans des revues suivant le modèle économique hybride. </w:t>
      </w:r>
      <w:bookmarkStart w:id="176" w:name="yui_3_16_0_1_1445939773516_4628"/>
      <w:bookmarkStart w:id="177" w:name="yui_3_16_0_1_1445939773516_4626"/>
      <w:bookmarkEnd w:id="176"/>
      <w:bookmarkEnd w:id="177"/>
      <w:r>
        <w:rPr>
          <w:i/>
          <w:u w:val="single"/>
        </w:rPr>
        <w:t xml:space="preserve">En abaissant </w:t>
      </w:r>
      <w:r>
        <w:rPr>
          <w:i/>
          <w:u w:val="single"/>
        </w:rPr>
        <w:t>de façon drastique, grâce au Compact agreement, les barrières à la publication en Gold OA ce type d'accord va probablement booster le développement de la publication en libre accès instantané dans des revues sur abonnement.</w:t>
      </w:r>
      <w:r>
        <w:t xml:space="preserve"> A une échéance sans doute relati</w:t>
      </w:r>
      <w:r>
        <w:t>vement proche la logique «</w:t>
      </w:r>
      <w:bookmarkStart w:id="178" w:name="yui_3_16_0_1_1445939773516_4630"/>
      <w:bookmarkEnd w:id="178"/>
      <w:proofErr w:type="spellStart"/>
      <w:r>
        <w:rPr>
          <w:i/>
        </w:rPr>
        <w:t>Publish</w:t>
      </w:r>
      <w:proofErr w:type="spellEnd"/>
      <w:r>
        <w:rPr>
          <w:i/>
        </w:rPr>
        <w:t xml:space="preserve"> all </w:t>
      </w:r>
      <w:proofErr w:type="spellStart"/>
      <w:r>
        <w:rPr>
          <w:i/>
        </w:rPr>
        <w:t>you</w:t>
      </w:r>
      <w:proofErr w:type="spellEnd"/>
      <w:r>
        <w:rPr>
          <w:i/>
        </w:rPr>
        <w:t xml:space="preserve"> </w:t>
      </w:r>
      <w:proofErr w:type="spellStart"/>
      <w:r>
        <w:rPr>
          <w:i/>
        </w:rPr>
        <w:t>can</w:t>
      </w:r>
      <w:proofErr w:type="spellEnd"/>
      <w:r>
        <w:rPr>
          <w:i/>
        </w:rPr>
        <w:t> </w:t>
      </w:r>
      <w:r>
        <w:t xml:space="preserve">» proposée par le </w:t>
      </w:r>
      <w:bookmarkStart w:id="179" w:name="yui_3_16_0_1_1445939773516_4632"/>
      <w:bookmarkEnd w:id="179"/>
      <w:r>
        <w:rPr>
          <w:i/>
        </w:rPr>
        <w:t>Compact agreement</w:t>
      </w:r>
      <w:r>
        <w:t xml:space="preserve"> va provoquer un basculement d'une part notable de la publication scientifique dans les revues Springer vers une mise à disposition en libre accès dès parution des articles. I</w:t>
      </w:r>
      <w:r>
        <w:t xml:space="preserve">l y a pour les chercheurs de nombreux avantages à cette conversion accélérée vers le Gold OA, ne serait-ce qu'une meilleure visibilité précoce et une meilleure </w:t>
      </w:r>
      <w:proofErr w:type="spellStart"/>
      <w:r>
        <w:t>citabilité</w:t>
      </w:r>
      <w:proofErr w:type="spellEnd"/>
      <w:r>
        <w:t xml:space="preserve"> de leurs travaux.</w:t>
      </w:r>
    </w:p>
    <w:p w:rsidR="0083184F" w:rsidRDefault="0083184F">
      <w:pPr>
        <w:pStyle w:val="Textbody"/>
        <w:spacing w:after="0"/>
        <w:rPr>
          <w:sz w:val="16"/>
          <w:szCs w:val="16"/>
        </w:rPr>
      </w:pPr>
    </w:p>
    <w:p w:rsidR="0083184F" w:rsidRDefault="00EF767C">
      <w:pPr>
        <w:pStyle w:val="Textbody"/>
        <w:spacing w:after="0"/>
      </w:pPr>
      <w:r>
        <w:t xml:space="preserve">Dans un « position </w:t>
      </w:r>
      <w:proofErr w:type="spellStart"/>
      <w:r>
        <w:t>paper</w:t>
      </w:r>
      <w:proofErr w:type="spellEnd"/>
      <w:r>
        <w:t> »</w:t>
      </w:r>
      <w:r>
        <w:rPr>
          <w:rStyle w:val="Appelnotedebasdep"/>
        </w:rPr>
        <w:footnoteReference w:id="10"/>
      </w:r>
      <w:r>
        <w:t xml:space="preserve"> publié en avril dernier, Ralf </w:t>
      </w:r>
      <w:proofErr w:type="spellStart"/>
      <w:r>
        <w:t>Schimmer</w:t>
      </w:r>
      <w:proofErr w:type="spellEnd"/>
      <w:r>
        <w:t>, responsable de la Max Planck Digital Library, appelait à un « grand soir » de l'Open Access. Soulignant qu'au plan mondial l'ensemble</w:t>
      </w:r>
      <w:r>
        <w:t xml:space="preserve"> des budgets d'abonnements permettrait largement de payer les APC liées à une conversion généralisée de la publication scientifique au Gold OA, il appelait à une transformation rapide des premiers en budgets APC. Cette approche macroéconomique très séduisa</w:t>
      </w:r>
      <w:r>
        <w:t>nte</w:t>
      </w:r>
      <w:r>
        <w:rPr>
          <w:rStyle w:val="Appelnotedebasdep"/>
        </w:rPr>
        <w:footnoteReference w:id="11"/>
      </w:r>
      <w:r>
        <w:t xml:space="preserve"> faisait l'impasse sur le fait que </w:t>
      </w:r>
      <w:bookmarkStart w:id="183" w:name="yui_3_16_0_1_1445939773516_4644"/>
      <w:bookmarkStart w:id="184" w:name="yui_3_16_0_1_1445939773516_4642"/>
      <w:bookmarkEnd w:id="183"/>
      <w:bookmarkEnd w:id="184"/>
      <w:r>
        <w:rPr>
          <w:i/>
          <w:u w:val="single"/>
        </w:rPr>
        <w:t>abonnement et APC ne correspondent pas au même service et ne sont pas directement substituables l'un à l'autre</w:t>
      </w:r>
      <w:r>
        <w:t>, et plus géné</w:t>
      </w:r>
      <w:r>
        <w:t xml:space="preserve">ralement qu'il existe au sein de la communauté scientifique des asymétries qui font que ce jeu à somme nulle ne serait pas indolore pour tous : </w:t>
      </w:r>
      <w:bookmarkStart w:id="185" w:name="yui_3_16_0_1_1445939773516_4648"/>
      <w:bookmarkStart w:id="186" w:name="yui_3_16_0_1_1445939773516_4646"/>
      <w:bookmarkEnd w:id="185"/>
      <w:bookmarkEnd w:id="186"/>
      <w:r>
        <w:rPr>
          <w:i/>
          <w:u w:val="single"/>
        </w:rPr>
        <w:t>ce sont les organismes les plus «</w:t>
      </w:r>
      <w:proofErr w:type="spellStart"/>
      <w:r>
        <w:rPr>
          <w:i/>
          <w:u w:val="single"/>
        </w:rPr>
        <w:t>Research</w:t>
      </w:r>
      <w:proofErr w:type="spellEnd"/>
      <w:r>
        <w:rPr>
          <w:i/>
          <w:u w:val="single"/>
        </w:rPr>
        <w:t xml:space="preserve"> Intensive » qui supporteraient l'essentiel des coûts de la publication</w:t>
      </w:r>
      <w:r>
        <w:rPr>
          <w:i/>
          <w:u w:val="single"/>
        </w:rPr>
        <w:t xml:space="preserve"> scientifique, </w:t>
      </w:r>
      <w:proofErr w:type="spellStart"/>
      <w:r>
        <w:rPr>
          <w:i/>
          <w:u w:val="single"/>
        </w:rPr>
        <w:t>allègeant</w:t>
      </w:r>
      <w:proofErr w:type="spellEnd"/>
      <w:r>
        <w:rPr>
          <w:i/>
          <w:u w:val="single"/>
        </w:rPr>
        <w:t xml:space="preserve"> d'autant les budgets des bibliothèques</w:t>
      </w:r>
      <w:r>
        <w:t xml:space="preserve">. La signature par la Max Planck </w:t>
      </w:r>
      <w:proofErr w:type="spellStart"/>
      <w:r>
        <w:t>Gesellschaft</w:t>
      </w:r>
      <w:proofErr w:type="spellEnd"/>
      <w:r>
        <w:t xml:space="preserve"> d'un </w:t>
      </w:r>
      <w:bookmarkStart w:id="187" w:name="yui_3_16_0_1_1445939773516_4650"/>
      <w:bookmarkEnd w:id="187"/>
      <w:r>
        <w:rPr>
          <w:i/>
        </w:rPr>
        <w:t>Compact agreement</w:t>
      </w:r>
      <w:r>
        <w:t xml:space="preserve"> avec Springer est dans la droite ligne de ce position </w:t>
      </w:r>
      <w:proofErr w:type="spellStart"/>
      <w:r>
        <w:t>paper</w:t>
      </w:r>
      <w:proofErr w:type="spellEnd"/>
      <w:r>
        <w:t>. Si l'on s'en tient, ce qui n'est pas illégitime, au seul object</w:t>
      </w:r>
      <w:r>
        <w:t xml:space="preserve">if de développement rapide d Gold OA, les </w:t>
      </w:r>
      <w:bookmarkStart w:id="188" w:name="yui_3_16_0_1_1445939773516_4652"/>
      <w:bookmarkEnd w:id="188"/>
      <w:r>
        <w:rPr>
          <w:i/>
        </w:rPr>
        <w:t xml:space="preserve">Compact </w:t>
      </w:r>
      <w:proofErr w:type="spellStart"/>
      <w:r>
        <w:rPr>
          <w:i/>
        </w:rPr>
        <w:t>agreements</w:t>
      </w:r>
      <w:proofErr w:type="spellEnd"/>
      <w:r>
        <w:rPr>
          <w:i/>
        </w:rPr>
        <w:t xml:space="preserve"> « font le job »</w:t>
      </w:r>
      <w:r>
        <w:t xml:space="preserve">. Le JISC avait de son côté déjà signé en décembre 2014 un accord de ce type avec l'éditeur </w:t>
      </w:r>
      <w:proofErr w:type="spellStart"/>
      <w:r>
        <w:t>Wiley</w:t>
      </w:r>
      <w:proofErr w:type="spellEnd"/>
      <w:r>
        <w:t xml:space="preserve">. </w:t>
      </w:r>
      <w:bookmarkStart w:id="189" w:name="yui_3_16_0_1_1445939773516_4658"/>
      <w:bookmarkStart w:id="190" w:name="yui_3_16_0_1_1445939773516_4656"/>
      <w:bookmarkEnd w:id="189"/>
      <w:bookmarkEnd w:id="190"/>
      <w:r>
        <w:rPr>
          <w:i/>
          <w:u w:val="single"/>
        </w:rPr>
        <w:t xml:space="preserve">Il est probable que l'approche commerciale de Springer centrée sur les Compact </w:t>
      </w:r>
      <w:proofErr w:type="spellStart"/>
      <w:r>
        <w:rPr>
          <w:i/>
          <w:u w:val="single"/>
        </w:rPr>
        <w:t>ag</w:t>
      </w:r>
      <w:r>
        <w:rPr>
          <w:i/>
          <w:u w:val="single"/>
        </w:rPr>
        <w:t>reements</w:t>
      </w:r>
      <w:proofErr w:type="spellEnd"/>
      <w:r>
        <w:rPr>
          <w:i/>
          <w:u w:val="single"/>
        </w:rPr>
        <w:t xml:space="preserve"> va rapidement être imitée, tant elle présente d'avantages pratiques et stratégiques, par tous les grands éditeurs scientifiques (dont le premier d'entre eux, Elsevier)</w:t>
      </w:r>
      <w:bookmarkStart w:id="191" w:name="yui_3_16_0_1_1445939773516_4660"/>
      <w:bookmarkEnd w:id="191"/>
      <w:r>
        <w:t xml:space="preserve"> disposant d'une base importante de revues à fort facteur d'impact diffusées sur</w:t>
      </w:r>
      <w:r>
        <w:t xml:space="preserve"> abonnement, et donc concernées par le modèle hybride.</w:t>
      </w:r>
    </w:p>
    <w:p w:rsidR="0083184F" w:rsidRDefault="0083184F">
      <w:pPr>
        <w:pStyle w:val="Textbody"/>
        <w:spacing w:after="0"/>
      </w:pPr>
      <w:bookmarkStart w:id="192" w:name="yui_3_16_0_1_1445939773516_4664"/>
      <w:bookmarkStart w:id="193" w:name="yui_3_16_0_1_1445939773516_4662"/>
      <w:bookmarkEnd w:id="192"/>
      <w:bookmarkEnd w:id="193"/>
    </w:p>
    <w:p w:rsidR="0083184F" w:rsidRDefault="00EF767C">
      <w:pPr>
        <w:pStyle w:val="Textbody"/>
        <w:spacing w:after="0"/>
        <w:rPr>
          <w:b/>
          <w:i/>
        </w:rPr>
      </w:pPr>
      <w:bookmarkStart w:id="194" w:name="yui_3_16_0_1_1445939773516_4670"/>
      <w:bookmarkStart w:id="195" w:name="yui_3_16_0_1_1445939773516_4668"/>
      <w:bookmarkStart w:id="196" w:name="yui_3_16_0_1_1445939773516_4666"/>
      <w:bookmarkEnd w:id="194"/>
      <w:bookmarkEnd w:id="195"/>
      <w:bookmarkEnd w:id="196"/>
      <w:r>
        <w:rPr>
          <w:b/>
          <w:i/>
        </w:rPr>
        <w:t xml:space="preserve">Pour Springer les Compact </w:t>
      </w:r>
      <w:proofErr w:type="spellStart"/>
      <w:r>
        <w:rPr>
          <w:b/>
          <w:i/>
        </w:rPr>
        <w:t>agreements</w:t>
      </w:r>
      <w:proofErr w:type="spellEnd"/>
      <w:r>
        <w:rPr>
          <w:b/>
          <w:i/>
        </w:rPr>
        <w:t xml:space="preserve"> génèrent une liste d'avantages stratégiques impressionnante</w:t>
      </w:r>
    </w:p>
    <w:p w:rsidR="0083184F" w:rsidRDefault="00EF767C">
      <w:pPr>
        <w:pStyle w:val="Textbody"/>
        <w:spacing w:after="0"/>
      </w:pPr>
      <w:bookmarkStart w:id="197" w:name="yui_3_16_0_1_1445939773516_4672"/>
      <w:bookmarkEnd w:id="197"/>
      <w:r>
        <w:t xml:space="preserve">Si Springer, de concert avec le JISC et la Max Planck </w:t>
      </w:r>
      <w:proofErr w:type="spellStart"/>
      <w:r>
        <w:t>Gesellschaft</w:t>
      </w:r>
      <w:proofErr w:type="spellEnd"/>
      <w:r>
        <w:t>, pourra sans trop forcer le trait pr</w:t>
      </w:r>
      <w:r>
        <w:t>ésenter ces accords comme des accords gagnant-gagnant, c'est bien l'éditeur « </w:t>
      </w:r>
      <w:bookmarkStart w:id="198" w:name="yui_3_16_0_1_1445939773516_4674"/>
      <w:bookmarkEnd w:id="198"/>
      <w:r>
        <w:rPr>
          <w:i/>
        </w:rPr>
        <w:t>for-profit</w:t>
      </w:r>
      <w:r>
        <w:t xml:space="preserve"> » qui pourra afficher les gains stratégiques les plus importants. En effet ces accords renforcent puissamment son emprise sur une part notable des flux de publication </w:t>
      </w:r>
      <w:r>
        <w:t xml:space="preserve">scientifique mondiaux. Dans la vision proposée par Springer, et validée par la signature de ces accords par le JISC et la Max Planck </w:t>
      </w:r>
      <w:proofErr w:type="spellStart"/>
      <w:r>
        <w:t>Gesellschaft</w:t>
      </w:r>
      <w:proofErr w:type="spellEnd"/>
      <w:r>
        <w:t xml:space="preserve">, </w:t>
      </w:r>
      <w:bookmarkStart w:id="199" w:name="yui_3_16_0_1_1445939773516_4678"/>
      <w:bookmarkStart w:id="200" w:name="yui_3_16_0_1_1445939773516_4676"/>
      <w:bookmarkEnd w:id="199"/>
      <w:bookmarkEnd w:id="200"/>
      <w:r>
        <w:rPr>
          <w:i/>
          <w:u w:val="single"/>
        </w:rPr>
        <w:t>l'objectif court-</w:t>
      </w:r>
      <w:proofErr w:type="spellStart"/>
      <w:r>
        <w:rPr>
          <w:i/>
          <w:u w:val="single"/>
        </w:rPr>
        <w:t>termiste</w:t>
      </w:r>
      <w:proofErr w:type="spellEnd"/>
      <w:r>
        <w:rPr>
          <w:i/>
          <w:u w:val="single"/>
        </w:rPr>
        <w:t xml:space="preserve"> de développement rapide du gold OA  se fait au détriment de la possibilité pour les</w:t>
      </w:r>
      <w:r>
        <w:rPr>
          <w:i/>
          <w:u w:val="single"/>
        </w:rPr>
        <w:t xml:space="preserve"> communautés de recherche de développer une vision stratégique</w:t>
      </w:r>
      <w:r>
        <w:t xml:space="preserve"> de ces questions essentielles, de reconfigurer dans un sens qui leur soit plus favorable l'articulation entre intérêt des éditeurs et intérêt des porteurs de science. Or cette reconfiguration f</w:t>
      </w:r>
      <w:r>
        <w:t>aisait bien partie des objectifs initiaux du mouvement pour le libre accès à la publication scientifique.</w:t>
      </w:r>
    </w:p>
    <w:p w:rsidR="0083184F" w:rsidRDefault="0083184F">
      <w:pPr>
        <w:pStyle w:val="Textbody"/>
        <w:spacing w:after="0"/>
      </w:pPr>
      <w:bookmarkStart w:id="201" w:name="yui_3_16_0_1_1445939773516_4682"/>
      <w:bookmarkStart w:id="202" w:name="yui_3_16_0_1_1445939773516_4680"/>
      <w:bookmarkEnd w:id="201"/>
      <w:bookmarkEnd w:id="202"/>
    </w:p>
    <w:p w:rsidR="0083184F" w:rsidRDefault="00EF767C">
      <w:pPr>
        <w:pStyle w:val="Textbody"/>
        <w:spacing w:after="0"/>
      </w:pPr>
      <w:r>
        <w:t xml:space="preserve">Le nombre d'avantages qu'apportent à Springer les </w:t>
      </w:r>
      <w:bookmarkStart w:id="203" w:name="yui_3_16_0_1_1445939773516_4688"/>
      <w:bookmarkEnd w:id="203"/>
      <w:r>
        <w:rPr>
          <w:i/>
        </w:rPr>
        <w:t xml:space="preserve">Compact </w:t>
      </w:r>
      <w:proofErr w:type="spellStart"/>
      <w:r>
        <w:rPr>
          <w:i/>
        </w:rPr>
        <w:t>agreements</w:t>
      </w:r>
      <w:proofErr w:type="spellEnd"/>
      <w:r>
        <w:rPr>
          <w:i/>
        </w:rPr>
        <w:t xml:space="preserve"> </w:t>
      </w:r>
      <w:r>
        <w:t>est impressionnant. D'abord, on l'a dit plus haut, ceux-ci permettent à l'éditeu</w:t>
      </w:r>
      <w:r>
        <w:t xml:space="preserve">r de garantir contractuellement son niveau de chiffre d'affaires et la progression au fil des ans de celui-ci. Ce qui était loin d'être gagné d'avance : la signature des </w:t>
      </w:r>
      <w:r>
        <w:rPr>
          <w:i/>
          <w:iCs/>
        </w:rPr>
        <w:t xml:space="preserve">Compact </w:t>
      </w:r>
      <w:proofErr w:type="spellStart"/>
      <w:r>
        <w:rPr>
          <w:i/>
          <w:iCs/>
        </w:rPr>
        <w:t>agreements</w:t>
      </w:r>
      <w:proofErr w:type="spellEnd"/>
      <w:r>
        <w:t xml:space="preserve"> intervient dans le prolongement d'une période de 15 ans, qui avaien</w:t>
      </w:r>
      <w:r>
        <w:t xml:space="preserve">t déjà vu progresser régulièrement et sur une base contractualisée les revenus de Springer (et d'une façon générale des grands éditeurs) dans le cadre d'accord de </w:t>
      </w:r>
      <w:proofErr w:type="spellStart"/>
      <w:r>
        <w:t>big</w:t>
      </w:r>
      <w:proofErr w:type="spellEnd"/>
      <w:r>
        <w:t xml:space="preserve">-deal d'accès à des corpus de ressources documentaires numériques. Cette augmentation des </w:t>
      </w:r>
      <w:r>
        <w:t xml:space="preserve">budgets d'achat de ressources documentaires a été justifiée depuis 15 ans par l'élargissement du périmètre des ressources documentaires accessibles aux chercheurs dans le cadre de ces accords de </w:t>
      </w:r>
      <w:proofErr w:type="spellStart"/>
      <w:r>
        <w:t>big</w:t>
      </w:r>
      <w:proofErr w:type="spellEnd"/>
      <w:r>
        <w:t>-deal, mais aussi par l'intensification des usages permise</w:t>
      </w:r>
      <w:r>
        <w:t xml:space="preserve"> par le numérique et les logiques de plate-forme. Mais cette logique inflationniste avait atteint son plafond. La situation était mûre pour que les consortiums puissent dans les prochaines années inverser cette logique et négocier à la baisse les budgets d</w:t>
      </w:r>
      <w:r>
        <w:t xml:space="preserve">édiés à l'accès aux bouquets de ressources proposés par les éditeurs. </w:t>
      </w:r>
      <w:bookmarkStart w:id="204" w:name="yui_3_16_0_1_1445939773516_4694"/>
      <w:bookmarkStart w:id="205" w:name="yui_3_16_0_1_1445939773516_4692"/>
      <w:bookmarkEnd w:id="204"/>
      <w:bookmarkEnd w:id="205"/>
      <w:r>
        <w:rPr>
          <w:i/>
          <w:u w:val="single"/>
        </w:rPr>
        <w:t>Les marges exorbitantes des grands éditeurs for-profit (de l'ordre de 36% chez Springer comme chez ses homologues) permettraient en théorie, si nécessaire au prix d'un bras de fer, d'obt</w:t>
      </w:r>
      <w:r>
        <w:rPr>
          <w:i/>
          <w:u w:val="single"/>
        </w:rPr>
        <w:t>enir dans de nouveaux contrats pluriannuels une baisse raisonnée du budget d'achat de ressources documentaires</w:t>
      </w:r>
      <w:bookmarkStart w:id="206" w:name="yui_3_16_0_1_1445939773516_4696"/>
      <w:bookmarkEnd w:id="206"/>
      <w:r>
        <w:t xml:space="preserve">. Mais le </w:t>
      </w:r>
      <w:bookmarkStart w:id="207" w:name="yui_3_16_0_1_1445939773516_4698"/>
      <w:bookmarkEnd w:id="207"/>
      <w:r>
        <w:rPr>
          <w:i/>
        </w:rPr>
        <w:t>Compact agreement</w:t>
      </w:r>
      <w:bookmarkStart w:id="208" w:name="yui_3_16_0_1_1445939773516_4700"/>
      <w:bookmarkEnd w:id="208"/>
      <w:r>
        <w:t xml:space="preserve"> escamote</w:t>
      </w:r>
      <w:r>
        <w:rPr>
          <w:rStyle w:val="Appelnotedebasdep"/>
        </w:rPr>
        <w:footnoteReference w:id="12"/>
      </w:r>
      <w:r>
        <w:t xml:space="preserve"> cette perspective de baisse des prix de la ressource qui devrait pourtant être l'objectif principal de toute centrale d'achat. Il l'escamote</w:t>
      </w:r>
      <w:r>
        <w:t xml:space="preserve"> en mettant en avant un nouveau facteur de croissance des budgets, la multiplication des publications en OA natif dans les revues sur abonnement. </w:t>
      </w:r>
      <w:bookmarkStart w:id="209" w:name="yui_3_16_0_1_1445939773516_4708"/>
      <w:bookmarkStart w:id="210" w:name="yui_3_16_0_1_1445939773516_4706"/>
      <w:bookmarkEnd w:id="209"/>
      <w:bookmarkEnd w:id="210"/>
      <w:r>
        <w:rPr>
          <w:i/>
          <w:u w:val="single"/>
        </w:rPr>
        <w:t xml:space="preserve">La logique matérialisée par les Compact </w:t>
      </w:r>
      <w:proofErr w:type="spellStart"/>
      <w:r>
        <w:rPr>
          <w:i/>
          <w:u w:val="single"/>
        </w:rPr>
        <w:t>agreements</w:t>
      </w:r>
      <w:proofErr w:type="spellEnd"/>
      <w:r>
        <w:rPr>
          <w:i/>
          <w:u w:val="single"/>
        </w:rPr>
        <w:t xml:space="preserve"> relance donc une spirale haussière.</w:t>
      </w:r>
      <w:bookmarkStart w:id="211" w:name="yui_3_16_0_1_1445939773516_4710"/>
      <w:bookmarkEnd w:id="211"/>
      <w:r>
        <w:t xml:space="preserve"> Le JISC et la Max Planc</w:t>
      </w:r>
      <w:r>
        <w:t xml:space="preserve">k </w:t>
      </w:r>
      <w:proofErr w:type="spellStart"/>
      <w:r>
        <w:t>Gesellschaft</w:t>
      </w:r>
      <w:proofErr w:type="spellEnd"/>
      <w:r>
        <w:t xml:space="preserve">, obnubilés par la possible explosion des budgets d'APC en cas de généralisation du Gold OA, acceptent de supporter une « hausse modérée » des sommes payées annuellement à Springer, garantissant ainsi le chiffre d'affaires de l'éditeur et sa </w:t>
      </w:r>
      <w:r>
        <w:t>progression, ainsi que sa marge hors normes.</w:t>
      </w:r>
    </w:p>
    <w:p w:rsidR="0083184F" w:rsidRDefault="0083184F">
      <w:pPr>
        <w:pStyle w:val="Textbody"/>
        <w:spacing w:after="0"/>
      </w:pPr>
      <w:bookmarkStart w:id="212" w:name="yui_3_16_0_1_1445939773516_4714"/>
      <w:bookmarkStart w:id="213" w:name="yui_3_16_0_1_1445939773516_4712"/>
      <w:bookmarkEnd w:id="212"/>
      <w:bookmarkEnd w:id="213"/>
    </w:p>
    <w:p w:rsidR="0083184F" w:rsidRDefault="00EF767C">
      <w:pPr>
        <w:pStyle w:val="Textbody"/>
        <w:spacing w:after="0"/>
        <w:rPr>
          <w:b/>
          <w:i/>
        </w:rPr>
      </w:pPr>
      <w:bookmarkStart w:id="214" w:name="yui_3_16_0_1_1445939773516_4720"/>
      <w:bookmarkStart w:id="215" w:name="yui_3_16_0_1_1445939773516_4718"/>
      <w:bookmarkStart w:id="216" w:name="yui_3_16_0_1_1445939773516_4716"/>
      <w:bookmarkEnd w:id="214"/>
      <w:bookmarkEnd w:id="215"/>
      <w:bookmarkEnd w:id="216"/>
      <w:r>
        <w:rPr>
          <w:b/>
          <w:i/>
        </w:rPr>
        <w:t>Vers une augmentation des marges déjà exorbitantes des grands éditeurs</w:t>
      </w:r>
    </w:p>
    <w:p w:rsidR="0083184F" w:rsidRDefault="00EF767C">
      <w:pPr>
        <w:pStyle w:val="Textbody"/>
        <w:spacing w:after="0"/>
      </w:pPr>
      <w:bookmarkStart w:id="217" w:name="yui_3_16_0_1_1445939773516_4724"/>
      <w:bookmarkStart w:id="218" w:name="yui_3_16_0_1_1445939773516_4722"/>
      <w:bookmarkEnd w:id="217"/>
      <w:bookmarkEnd w:id="218"/>
      <w:r>
        <w:t>Ce type d'accord va de plus permettre à Springer (et demain à ses homologues) de faire encore progresser leurs marges qui n'ont pourtant gu</w:t>
      </w:r>
      <w:r>
        <w:t>ère d'équivalent dans l'économie réelle. Et ce pour plusieurs raisons. La première est que pour un volume donné de publications scientifiques portées par Springer (et on l'a dit celui-ci à tous les moyens de contrôler la progression de ce volume, y compris</w:t>
      </w:r>
      <w:r>
        <w:t xml:space="preserve"> dans un scénario de Gold OA généralisé), la base de coûts (proportionnelle à ce volume) est sensiblement la même pour l'éditeur qu'il génère ses revenus aux travers des encaissements séparés d'abonnements et d'APC ou qu'il les génère via un </w:t>
      </w:r>
      <w:bookmarkStart w:id="219" w:name="yui_3_16_0_1_1445939773516_4726"/>
      <w:bookmarkEnd w:id="219"/>
      <w:r>
        <w:rPr>
          <w:i/>
        </w:rPr>
        <w:t>Compact agreem</w:t>
      </w:r>
      <w:r>
        <w:rPr>
          <w:i/>
        </w:rPr>
        <w:t>ent</w:t>
      </w:r>
      <w:bookmarkStart w:id="220" w:name="yui_3_16_0_1_1445939773516_4728"/>
      <w:bookmarkEnd w:id="220"/>
      <w:r>
        <w:t xml:space="preserve">. </w:t>
      </w:r>
      <w:bookmarkStart w:id="221" w:name="yui_3_16_0_1_1445939773516_4732"/>
      <w:bookmarkStart w:id="222" w:name="yui_3_16_0_1_1445939773516_4730"/>
      <w:bookmarkEnd w:id="221"/>
      <w:bookmarkEnd w:id="222"/>
      <w:r>
        <w:rPr>
          <w:i/>
          <w:u w:val="single"/>
        </w:rPr>
        <w:t xml:space="preserve">La progression modérée du chiffre d'affaires de Springer inscrite dans les Compact </w:t>
      </w:r>
      <w:proofErr w:type="spellStart"/>
      <w:r>
        <w:rPr>
          <w:i/>
          <w:u w:val="single"/>
        </w:rPr>
        <w:t>Agreements</w:t>
      </w:r>
      <w:proofErr w:type="spellEnd"/>
      <w:r>
        <w:rPr>
          <w:i/>
          <w:u w:val="single"/>
        </w:rPr>
        <w:t xml:space="preserve"> va donc mécaniquement se répercuter sur les marges, puisque la base de coûts est invariante.</w:t>
      </w:r>
      <w:bookmarkStart w:id="223" w:name="yui_3_16_0_1_1445939773516_4734"/>
      <w:bookmarkEnd w:id="223"/>
      <w:r>
        <w:t xml:space="preserve"> Cette progression à venir des marges sera aussi stimulée par deu</w:t>
      </w:r>
      <w:r>
        <w:t xml:space="preserve">x autres facteurs. Le premier est lié au fait que les </w:t>
      </w:r>
      <w:bookmarkStart w:id="224" w:name="yui_3_16_0_1_1445939773516_4736"/>
      <w:bookmarkEnd w:id="224"/>
      <w:r>
        <w:rPr>
          <w:i/>
        </w:rPr>
        <w:t xml:space="preserve">Compact </w:t>
      </w:r>
      <w:proofErr w:type="spellStart"/>
      <w:r>
        <w:rPr>
          <w:i/>
        </w:rPr>
        <w:t>agreements</w:t>
      </w:r>
      <w:bookmarkStart w:id="225" w:name="yui_3_16_0_1_1445939773516_4738"/>
      <w:bookmarkEnd w:id="225"/>
      <w:proofErr w:type="spellEnd"/>
      <w:r>
        <w:t xml:space="preserve"> ne sont par essence possibles que dans le cadre du modèle économique de diffusion sur abonnement de la publication scientifique , puisque leur raison d'être est de fusionner en une se</w:t>
      </w:r>
      <w:r>
        <w:t>ule enveloppe (« </w:t>
      </w:r>
      <w:bookmarkStart w:id="226" w:name="yui_3_16_0_1_1445939773516_4740"/>
      <w:bookmarkEnd w:id="226"/>
      <w:r>
        <w:rPr>
          <w:i/>
        </w:rPr>
        <w:t xml:space="preserve">one </w:t>
      </w:r>
      <w:proofErr w:type="spellStart"/>
      <w:r>
        <w:rPr>
          <w:i/>
        </w:rPr>
        <w:t>payment</w:t>
      </w:r>
      <w:proofErr w:type="spellEnd"/>
      <w:r>
        <w:rPr>
          <w:i/>
        </w:rPr>
        <w:t xml:space="preserve"> </w:t>
      </w:r>
      <w:proofErr w:type="spellStart"/>
      <w:r>
        <w:rPr>
          <w:i/>
        </w:rPr>
        <w:t>scheme</w:t>
      </w:r>
      <w:proofErr w:type="spellEnd"/>
      <w:r>
        <w:rPr>
          <w:i/>
        </w:rPr>
        <w:t xml:space="preserve"> ») </w:t>
      </w:r>
      <w:bookmarkStart w:id="227" w:name="yui_3_16_0_1_1445939773516_4742"/>
      <w:bookmarkEnd w:id="227"/>
      <w:r>
        <w:t>les deux types de dépenses, abonnements et APC. Or les études empiriques sur les niveaux d'APC</w:t>
      </w:r>
      <w:r>
        <w:rPr>
          <w:rStyle w:val="Appelnotedebasdep"/>
        </w:rPr>
        <w:footnoteReference w:id="13"/>
      </w:r>
      <w:r>
        <w:t xml:space="preserve"> montrent que les APC perçues pour publication en OA dans le cadre du « modèle hybride » sont significativement plus élevées (sans justification industrielle aucune) : ils sont chez Springer de 2 200€ (et de 2750€ en moyenne tous éditeurs) alors que le tar</w:t>
      </w:r>
      <w:r>
        <w:t xml:space="preserve">if moyen constaté généralement tous types de publication OA confondus pour les APC est de 1 237 $ +/- 712 $ (1123 € +/- 641 €). Springer au travers de sa filiale </w:t>
      </w:r>
      <w:bookmarkStart w:id="240" w:name="yui_3_16_0_1_1445939773516_4748"/>
      <w:bookmarkEnd w:id="240"/>
      <w:proofErr w:type="spellStart"/>
      <w:r>
        <w:rPr>
          <w:i/>
        </w:rPr>
        <w:t>Biomed</w:t>
      </w:r>
      <w:proofErr w:type="spellEnd"/>
      <w:r>
        <w:rPr>
          <w:i/>
        </w:rPr>
        <w:t xml:space="preserve"> Central</w:t>
      </w:r>
      <w:bookmarkStart w:id="241" w:name="yui_3_16_0_1_1445939773516_4750"/>
      <w:bookmarkEnd w:id="241"/>
      <w:r>
        <w:t xml:space="preserve"> (facturant des APC de l'ordre de 1 745€) et de ses propres revues en libre accè</w:t>
      </w:r>
      <w:r>
        <w:t xml:space="preserve">s natif lancées dans les dernières années a déjà par ce canal développé son chiffre d'affaires APC et gagné par ce biais des « parts de marché » dans les volumes de publications scientifiques transitant par ses revues. Mais en relançant au travers des </w:t>
      </w:r>
      <w:bookmarkStart w:id="242" w:name="yui_3_16_0_1_1445939773516_4752"/>
      <w:bookmarkEnd w:id="242"/>
      <w:r>
        <w:rPr>
          <w:i/>
        </w:rPr>
        <w:t>Comp</w:t>
      </w:r>
      <w:r>
        <w:rPr>
          <w:i/>
        </w:rPr>
        <w:t xml:space="preserve">act </w:t>
      </w:r>
      <w:proofErr w:type="spellStart"/>
      <w:r>
        <w:rPr>
          <w:i/>
        </w:rPr>
        <w:t>agreements</w:t>
      </w:r>
      <w:bookmarkStart w:id="243" w:name="yui_3_16_0_1_1445939773516_4754"/>
      <w:bookmarkEnd w:id="243"/>
      <w:proofErr w:type="spellEnd"/>
      <w:r>
        <w:t xml:space="preserve"> le modèle hybride de publication, il oriente cet axe de croissance et de pression concurrentielle vers une logique de plus forte rentabilité moyenne. C'est pour lui une ambition essentielle : il ne fait aucun doute que le modèle de pur OA ap</w:t>
      </w:r>
      <w:r>
        <w:t xml:space="preserve">pliqué par exemple par sa filiale </w:t>
      </w:r>
      <w:proofErr w:type="spellStart"/>
      <w:r>
        <w:t>Biomed</w:t>
      </w:r>
      <w:proofErr w:type="spellEnd"/>
      <w:r>
        <w:t xml:space="preserve"> Central risque de diluer sa rentabilité s'il prenait une part plus importante dans la génération des chiffres d'affaires. </w:t>
      </w:r>
      <w:bookmarkStart w:id="244" w:name="yui_3_16_0_1_1445939773516_4762"/>
      <w:bookmarkStart w:id="245" w:name="yui_3_16_0_1_1445939773516_4760"/>
      <w:bookmarkEnd w:id="244"/>
      <w:bookmarkEnd w:id="245"/>
      <w:r>
        <w:rPr>
          <w:i/>
          <w:u w:val="single"/>
        </w:rPr>
        <w:t>En d'autres termes il était temps pour Springer de redorer le blason de la publication hybrid</w:t>
      </w:r>
      <w:r>
        <w:rPr>
          <w:i/>
          <w:u w:val="single"/>
        </w:rPr>
        <w:t>e</w:t>
      </w:r>
      <w:r>
        <w:rPr>
          <w:rStyle w:val="Appelnotedebasdep"/>
          <w:i/>
          <w:u w:val="single"/>
        </w:rPr>
        <w:footnoteReference w:id="14"/>
      </w:r>
      <w:r>
        <w:t>.</w:t>
      </w:r>
    </w:p>
    <w:p w:rsidR="0083184F" w:rsidRDefault="0083184F">
      <w:pPr>
        <w:pStyle w:val="Textbody"/>
        <w:spacing w:after="0"/>
      </w:pPr>
      <w:bookmarkStart w:id="246" w:name="yui_3_16_0_1_1445939773516_4772"/>
      <w:bookmarkStart w:id="247" w:name="yui_3_16_0_1_1445939773516_4770"/>
      <w:bookmarkEnd w:id="246"/>
      <w:bookmarkEnd w:id="247"/>
    </w:p>
    <w:p w:rsidR="0083184F" w:rsidRDefault="00EF767C">
      <w:pPr>
        <w:pStyle w:val="Textbody"/>
        <w:spacing w:after="0"/>
        <w:rPr>
          <w:b/>
          <w:i/>
        </w:rPr>
      </w:pPr>
      <w:bookmarkStart w:id="248" w:name="yui_3_16_0_1_1445939773516_4778"/>
      <w:bookmarkStart w:id="249" w:name="yui_3_16_0_1_1445939773516_4776"/>
      <w:bookmarkStart w:id="250" w:name="yui_3_16_0_1_1445939773516_4774"/>
      <w:bookmarkEnd w:id="248"/>
      <w:bookmarkEnd w:id="249"/>
      <w:bookmarkEnd w:id="250"/>
      <w:r>
        <w:rPr>
          <w:b/>
          <w:i/>
        </w:rPr>
        <w:t>Un avantage stratégique décisif : le Compact agreement comme levier de l'augmentation des par</w:t>
      </w:r>
      <w:r>
        <w:rPr>
          <w:b/>
          <w:i/>
        </w:rPr>
        <w:t>ts de marché Springer</w:t>
      </w:r>
    </w:p>
    <w:p w:rsidR="0083184F" w:rsidRDefault="00EF767C">
      <w:pPr>
        <w:pStyle w:val="Textbody"/>
        <w:spacing w:after="0"/>
      </w:pPr>
      <w:bookmarkStart w:id="251" w:name="yui_3_16_0_1_1445939773516_4782"/>
      <w:bookmarkStart w:id="252" w:name="yui_3_16_0_1_1445939773516_4780"/>
      <w:bookmarkEnd w:id="251"/>
      <w:bookmarkEnd w:id="252"/>
      <w:r>
        <w:t xml:space="preserve">Jusqu'à une époque récente dominée par le modèle économique de l'abonnement, les parts de marché des grands éditeurs étaient relativement figées. Elles ne progressaient que par rachat d'éditeurs de plus faible taille, comme le rachat </w:t>
      </w:r>
      <w:r>
        <w:t xml:space="preserve">en 2008 de </w:t>
      </w:r>
      <w:bookmarkStart w:id="253" w:name="yui_3_16_0_1_1445939773516_4784"/>
      <w:bookmarkEnd w:id="253"/>
      <w:proofErr w:type="spellStart"/>
      <w:r>
        <w:rPr>
          <w:i/>
        </w:rPr>
        <w:t>Biomed</w:t>
      </w:r>
      <w:proofErr w:type="spellEnd"/>
      <w:r>
        <w:rPr>
          <w:i/>
        </w:rPr>
        <w:t xml:space="preserve"> Central</w:t>
      </w:r>
      <w:bookmarkStart w:id="254" w:name="yui_3_16_0_1_1445939773516_4786"/>
      <w:bookmarkEnd w:id="254"/>
      <w:r>
        <w:t xml:space="preserve"> par Springer ou la fusion en 2004 de </w:t>
      </w:r>
      <w:bookmarkStart w:id="255" w:name="yui_3_16_0_1_1445939773516_4788"/>
      <w:bookmarkEnd w:id="255"/>
      <w:proofErr w:type="spellStart"/>
      <w:r>
        <w:rPr>
          <w:i/>
        </w:rPr>
        <w:t>BertelsmannSpringer</w:t>
      </w:r>
      <w:bookmarkStart w:id="256" w:name="yui_3_16_0_1_1445939773516_4790"/>
      <w:bookmarkEnd w:id="256"/>
      <w:proofErr w:type="spellEnd"/>
      <w:r>
        <w:t xml:space="preserve"> et de </w:t>
      </w:r>
      <w:bookmarkStart w:id="257" w:name="yui_3_16_0_1_1445939773516_4792"/>
      <w:bookmarkEnd w:id="257"/>
      <w:r>
        <w:rPr>
          <w:i/>
        </w:rPr>
        <w:t xml:space="preserve">Kluwer </w:t>
      </w:r>
      <w:proofErr w:type="spellStart"/>
      <w:r>
        <w:rPr>
          <w:i/>
        </w:rPr>
        <w:t>Academics</w:t>
      </w:r>
      <w:bookmarkStart w:id="258" w:name="yui_3_16_0_1_1445939773516_4794"/>
      <w:bookmarkEnd w:id="258"/>
      <w:proofErr w:type="spellEnd"/>
      <w:r>
        <w:t xml:space="preserve">. </w:t>
      </w:r>
      <w:bookmarkStart w:id="259" w:name="yui_3_16_0_1_1445939773516_4798"/>
      <w:bookmarkStart w:id="260" w:name="yui_3_16_0_1_1445939773516_4796"/>
      <w:bookmarkEnd w:id="259"/>
      <w:bookmarkEnd w:id="260"/>
      <w:r>
        <w:rPr>
          <w:i/>
          <w:u w:val="single"/>
        </w:rPr>
        <w:t>L'un des principaux impacts stratégiques du modèle économique de Gold Open Access est de rouvrir cette donne concurrentielle figée.</w:t>
      </w:r>
      <w:bookmarkStart w:id="261" w:name="yui_3_16_0_1_1445939773516_4800"/>
      <w:bookmarkEnd w:id="261"/>
      <w:r>
        <w:t xml:space="preserve"> Si une revue scie</w:t>
      </w:r>
      <w:r>
        <w:t>ntifique fait référence dans un domaine donné, le chercheur ou son organisme de rattachement n'ont d'autre choix que de s'abonner à cette revue, comme à celles de qualité égale s'attachant aux mêmes champs de recherche. Les revues sur abonnement à fort fac</w:t>
      </w:r>
      <w:r>
        <w:t>teur d'impact sont dans une situation de monopole de fait (et ce monopole n'est pas battu en brèche par l'existence d'autres revues puisqu'une revue n'est jamais substituable à une autre). Ce qui explique leurs coûts d'abonnement élevés</w:t>
      </w:r>
      <w:r>
        <w:rPr>
          <w:rStyle w:val="Appelnotedebasdep"/>
        </w:rPr>
        <w:footnoteReference w:id="15"/>
      </w:r>
      <w:r>
        <w:t>, sans rapport avec une quelconque structure de coûts. Mais dans le cadre de la publication en Gold Open Access, s'ouvre une nouvelle possibilité de concurrence : un champ disc</w:t>
      </w:r>
      <w:r>
        <w:t>iplinaire n'est jamais couvert par une seule revue de prestige et le chercheur choisira, à qualité et facteur d'impact égal, la revue qui acceptera de publier son article aux meilleures conditions. Il est évident qu'en abaissant toute barrière à la publica</w:t>
      </w:r>
      <w:r>
        <w:t xml:space="preserve">tion en OA hybride, </w:t>
      </w:r>
      <w:bookmarkStart w:id="263" w:name="yui_3_16_0_1_1445939773516_4808"/>
      <w:bookmarkStart w:id="264" w:name="yui_3_16_0_1_1445939773516_4806"/>
      <w:bookmarkEnd w:id="263"/>
      <w:bookmarkEnd w:id="264"/>
      <w:r>
        <w:rPr>
          <w:i/>
          <w:u w:val="single"/>
        </w:rPr>
        <w:t xml:space="preserve">en dispensant dans les faits les chercheurs et leur unité du paiement d'APC grâce au Compact </w:t>
      </w:r>
      <w:proofErr w:type="spellStart"/>
      <w:r>
        <w:rPr>
          <w:i/>
          <w:u w:val="single"/>
        </w:rPr>
        <w:t>agreements</w:t>
      </w:r>
      <w:proofErr w:type="spellEnd"/>
      <w:r>
        <w:rPr>
          <w:i/>
          <w:u w:val="single"/>
        </w:rPr>
        <w:t xml:space="preserve"> financés en amont, Springer va satelliser sur ses revues, aux dépens d'autres éditeurs, de nombreux auteurs</w:t>
      </w:r>
      <w:bookmarkStart w:id="265" w:name="yui_3_16_0_1_1445939773516_4810"/>
      <w:bookmarkEnd w:id="265"/>
      <w:r>
        <w:t xml:space="preserve"> allemands, britanniques,</w:t>
      </w:r>
      <w:r>
        <w:t xml:space="preserve"> autrichiens ou néerlandais, qui verront là un moyen de rendre leurs publications librement accessibles et </w:t>
      </w:r>
      <w:proofErr w:type="spellStart"/>
      <w:r>
        <w:t>citables</w:t>
      </w:r>
      <w:proofErr w:type="spellEnd"/>
      <w:r>
        <w:t xml:space="preserve"> immédiatement. Certes les autres éditeurs tels Elsevier vont probablement réagir. Mais il y a dans cette nouvelle concurrence un facteur « v</w:t>
      </w:r>
      <w:r>
        <w:t xml:space="preserve">itesse » : Springer a tiré le premier et cela va mécaniquement accroître sa « part de marché » dans les flux de publication scientifique. </w:t>
      </w:r>
      <w:bookmarkStart w:id="266" w:name="yui_3_16_0_1_1445939773516_4814"/>
      <w:bookmarkStart w:id="267" w:name="yui_3_16_0_1_1445939773516_4812"/>
      <w:bookmarkEnd w:id="266"/>
      <w:bookmarkEnd w:id="267"/>
      <w:r>
        <w:rPr>
          <w:i/>
          <w:u w:val="single"/>
        </w:rPr>
        <w:t>On pourrait même à ce propos parler de distorsion de concurrence</w:t>
      </w:r>
      <w:bookmarkStart w:id="268" w:name="yui_3_16_0_1_1445939773516_4816"/>
      <w:bookmarkEnd w:id="268"/>
      <w:r>
        <w:t>. En effet tous les éditeurs concurrents de Springer n</w:t>
      </w:r>
      <w:r>
        <w:t xml:space="preserve">e sont pas logés à la même enseigne s'agissant de faire pièce à la stratégie du N°2 mondial de l'édition scientifique : </w:t>
      </w:r>
      <w:bookmarkStart w:id="269" w:name="yui_3_16_0_1_1445939773516_4820"/>
      <w:bookmarkStart w:id="270" w:name="yui_3_16_0_1_1445939773516_4818"/>
      <w:bookmarkEnd w:id="269"/>
      <w:bookmarkEnd w:id="270"/>
      <w:r>
        <w:rPr>
          <w:u w:val="single"/>
        </w:rPr>
        <w:t xml:space="preserve">les « pure </w:t>
      </w:r>
      <w:proofErr w:type="spellStart"/>
      <w:r>
        <w:rPr>
          <w:u w:val="single"/>
        </w:rPr>
        <w:t>players</w:t>
      </w:r>
      <w:proofErr w:type="spellEnd"/>
      <w:r>
        <w:rPr>
          <w:u w:val="single"/>
        </w:rPr>
        <w:t xml:space="preserve"> » du Gold OA – </w:t>
      </w:r>
      <w:bookmarkStart w:id="271" w:name="yui_3_16_0_1_1445939773516_4824"/>
      <w:bookmarkStart w:id="272" w:name="yui_3_16_0_1_1445939773516_4822"/>
      <w:bookmarkEnd w:id="271"/>
      <w:bookmarkEnd w:id="272"/>
      <w:proofErr w:type="spellStart"/>
      <w:r>
        <w:rPr>
          <w:i/>
          <w:u w:val="single"/>
        </w:rPr>
        <w:t>PloS</w:t>
      </w:r>
      <w:proofErr w:type="spellEnd"/>
      <w:r>
        <w:rPr>
          <w:i/>
          <w:u w:val="single"/>
        </w:rPr>
        <w:t xml:space="preserve">, </w:t>
      </w:r>
      <w:proofErr w:type="spellStart"/>
      <w:r>
        <w:rPr>
          <w:i/>
          <w:u w:val="single"/>
        </w:rPr>
        <w:t>Hindawi</w:t>
      </w:r>
      <w:bookmarkStart w:id="273" w:name="yui_3_16_0_1_1445939773516_4828"/>
      <w:bookmarkStart w:id="274" w:name="yui_3_16_0_1_1445939773516_4826"/>
      <w:bookmarkEnd w:id="273"/>
      <w:bookmarkEnd w:id="274"/>
      <w:proofErr w:type="spellEnd"/>
      <w:r>
        <w:rPr>
          <w:u w:val="single"/>
        </w:rPr>
        <w:t xml:space="preserve"> ou … </w:t>
      </w:r>
      <w:bookmarkStart w:id="275" w:name="yui_3_16_0_1_1445939773516_4832"/>
      <w:bookmarkStart w:id="276" w:name="yui_3_16_0_1_1445939773516_4830"/>
      <w:bookmarkEnd w:id="275"/>
      <w:bookmarkEnd w:id="276"/>
      <w:proofErr w:type="spellStart"/>
      <w:r>
        <w:rPr>
          <w:i/>
          <w:u w:val="single"/>
        </w:rPr>
        <w:t>Biomed</w:t>
      </w:r>
      <w:proofErr w:type="spellEnd"/>
      <w:r>
        <w:rPr>
          <w:i/>
          <w:u w:val="single"/>
        </w:rPr>
        <w:t xml:space="preserve"> Central</w:t>
      </w:r>
      <w:bookmarkStart w:id="277" w:name="yui_3_16_0_1_1445939773516_4836"/>
      <w:bookmarkStart w:id="278" w:name="yui_3_16_0_1_1445939773516_4834"/>
      <w:bookmarkEnd w:id="277"/>
      <w:bookmarkEnd w:id="278"/>
      <w:r>
        <w:rPr>
          <w:u w:val="single"/>
        </w:rPr>
        <w:t xml:space="preserve"> ne peuvent par définition pas proposer </w:t>
      </w:r>
      <w:bookmarkStart w:id="279" w:name="yui_3_16_0_1_1445939773516_4840"/>
      <w:bookmarkStart w:id="280" w:name="yui_3_16_0_1_1445939773516_4838"/>
      <w:bookmarkEnd w:id="279"/>
      <w:bookmarkEnd w:id="280"/>
      <w:r>
        <w:rPr>
          <w:i/>
          <w:u w:val="single"/>
        </w:rPr>
        <w:t xml:space="preserve">« one single </w:t>
      </w:r>
      <w:proofErr w:type="spellStart"/>
      <w:r>
        <w:rPr>
          <w:i/>
          <w:u w:val="single"/>
        </w:rPr>
        <w:t>payment</w:t>
      </w:r>
      <w:proofErr w:type="spellEnd"/>
      <w:r>
        <w:rPr>
          <w:i/>
          <w:u w:val="single"/>
        </w:rPr>
        <w:t xml:space="preserve"> </w:t>
      </w:r>
      <w:proofErr w:type="spellStart"/>
      <w:r>
        <w:rPr>
          <w:i/>
          <w:u w:val="single"/>
        </w:rPr>
        <w:t>scheme</w:t>
      </w:r>
      <w:proofErr w:type="spellEnd"/>
      <w:r>
        <w:rPr>
          <w:i/>
          <w:u w:val="single"/>
        </w:rPr>
        <w:t> »</w:t>
      </w:r>
      <w:r>
        <w:rPr>
          <w:rStyle w:val="Appelnotedebasdep"/>
          <w:i/>
          <w:u w:val="single"/>
        </w:rPr>
        <w:footnoteReference w:id="16"/>
      </w:r>
      <w:r>
        <w:rPr>
          <w:i/>
          <w:u w:val="single"/>
        </w:rPr>
        <w:t xml:space="preserve"> </w:t>
      </w:r>
      <w:bookmarkStart w:id="281" w:name="yui_3_16_0_1_1445939773516_4844"/>
      <w:bookmarkStart w:id="282" w:name="yui_3_16_0_1_1445939773516_4842"/>
      <w:bookmarkEnd w:id="281"/>
      <w:bookmarkEnd w:id="282"/>
      <w:r>
        <w:rPr>
          <w:u w:val="single"/>
        </w:rPr>
        <w:t>associant abonnements et APC, puisque leurs revues sont diffusées sans abonnement.</w:t>
      </w:r>
      <w:bookmarkStart w:id="283" w:name="yui_3_16_0_1_1445939773516_4846"/>
      <w:bookmarkEnd w:id="283"/>
      <w:r>
        <w:t xml:space="preserve"> En d'autre termes Springer (et demain E</w:t>
      </w:r>
      <w:r>
        <w:t>lsevier, ou dès aujourd'hui l'</w:t>
      </w:r>
      <w:bookmarkStart w:id="284" w:name="yui_3_16_0_1_1445939773516_4848"/>
      <w:bookmarkEnd w:id="284"/>
      <w:r>
        <w:rPr>
          <w:i/>
        </w:rPr>
        <w:t xml:space="preserve">American </w:t>
      </w:r>
      <w:proofErr w:type="spellStart"/>
      <w:r>
        <w:rPr>
          <w:i/>
        </w:rPr>
        <w:t>Chemical</w:t>
      </w:r>
      <w:proofErr w:type="spellEnd"/>
      <w:r>
        <w:rPr>
          <w:i/>
        </w:rPr>
        <w:t xml:space="preserve"> Society</w:t>
      </w:r>
      <w:bookmarkStart w:id="285" w:name="yui_3_16_0_1_1445939773516_4850"/>
      <w:bookmarkEnd w:id="285"/>
      <w:r>
        <w:t xml:space="preserve"> ) pourront absorber dans les confortables marges de leurs activités sur abonnement le niveau nominal des APC qu'ils exigent, alors que </w:t>
      </w:r>
      <w:proofErr w:type="spellStart"/>
      <w:r>
        <w:t>PloS</w:t>
      </w:r>
      <w:proofErr w:type="spellEnd"/>
      <w:r>
        <w:t xml:space="preserve"> ou ses homologues ne pourront le faire. En se positionnant t</w:t>
      </w:r>
      <w:r>
        <w:t xml:space="preserve">rès tôt (et en se différenciant </w:t>
      </w:r>
      <w:proofErr w:type="spellStart"/>
      <w:r>
        <w:t>par là</w:t>
      </w:r>
      <w:proofErr w:type="spellEnd"/>
      <w:r>
        <w:t xml:space="preserve"> d'Elsevier) comme un soutien à l'aspiration des chercheurs de publier en libre accès, Springer a toujours eu un temps d'avance. Aujourd'hui un paramètre essentiel de son tableau de bord stratégique est la proportion d</w:t>
      </w:r>
      <w:r>
        <w:t xml:space="preserve">'articles qu'il pourra publier à moyen terme sans embargo en Gold Open Access en revues hybrides dès la finalisation d'un article préalablement accepté. Ces jours-ci le groupe Nature (société sœur de Springer dans l'ensemble </w:t>
      </w:r>
      <w:bookmarkStart w:id="286" w:name="yui_3_16_0_1_1445939773516_4852"/>
      <w:bookmarkEnd w:id="286"/>
      <w:r>
        <w:rPr>
          <w:i/>
        </w:rPr>
        <w:t>Springer Nature</w:t>
      </w:r>
      <w:bookmarkStart w:id="287" w:name="yui_3_16_0_1_1445939773516_4854"/>
      <w:bookmarkEnd w:id="287"/>
      <w:r>
        <w:t xml:space="preserve"> récemment const</w:t>
      </w:r>
      <w:r>
        <w:t xml:space="preserve">itué) communiquait sur le fait que 63% des articles publiés par le </w:t>
      </w:r>
      <w:bookmarkStart w:id="288" w:name="yui_3_16_0_1_1445939773516_4856"/>
      <w:bookmarkEnd w:id="288"/>
      <w:r>
        <w:rPr>
          <w:i/>
        </w:rPr>
        <w:t xml:space="preserve">Nature </w:t>
      </w:r>
      <w:proofErr w:type="spellStart"/>
      <w:r>
        <w:rPr>
          <w:i/>
        </w:rPr>
        <w:t>publishing</w:t>
      </w:r>
      <w:proofErr w:type="spellEnd"/>
      <w:r>
        <w:rPr>
          <w:i/>
        </w:rPr>
        <w:t xml:space="preserve"> Group</w:t>
      </w:r>
      <w:bookmarkStart w:id="289" w:name="yui_3_16_0_1_1445939773516_4858"/>
      <w:bookmarkEnd w:id="289"/>
      <w:r>
        <w:t xml:space="preserve"> (NPG) étaient aujourd'hui disponibles en OA natif dès publication. C'est ce type de ratio que Springer ambitionne aussi d'atteindre, et les </w:t>
      </w:r>
      <w:bookmarkStart w:id="290" w:name="yui_3_16_0_1_1445939773516_4860"/>
      <w:bookmarkEnd w:id="290"/>
      <w:r>
        <w:rPr>
          <w:i/>
        </w:rPr>
        <w:t xml:space="preserve">Compact </w:t>
      </w:r>
      <w:proofErr w:type="spellStart"/>
      <w:r>
        <w:rPr>
          <w:i/>
        </w:rPr>
        <w:t>agreements</w:t>
      </w:r>
      <w:bookmarkStart w:id="291" w:name="yui_3_16_0_1_1445939773516_4862"/>
      <w:bookmarkEnd w:id="291"/>
      <w:proofErr w:type="spellEnd"/>
      <w:r>
        <w:t xml:space="preserve"> sont l</w:t>
      </w:r>
      <w:r>
        <w:t>es vecteurs de cette stratégie.</w:t>
      </w:r>
    </w:p>
    <w:p w:rsidR="0083184F" w:rsidRDefault="0083184F">
      <w:pPr>
        <w:pStyle w:val="Textbody"/>
        <w:spacing w:after="0"/>
      </w:pPr>
      <w:bookmarkStart w:id="292" w:name="yui_3_16_0_1_1445939773516_4866"/>
      <w:bookmarkStart w:id="293" w:name="yui_3_16_0_1_1445939773516_4864"/>
      <w:bookmarkEnd w:id="292"/>
      <w:bookmarkEnd w:id="293"/>
    </w:p>
    <w:p w:rsidR="0083184F" w:rsidRDefault="00EF767C">
      <w:pPr>
        <w:pStyle w:val="Textbody"/>
        <w:spacing w:after="0"/>
        <w:rPr>
          <w:b/>
          <w:i/>
        </w:rPr>
      </w:pPr>
      <w:bookmarkStart w:id="294" w:name="yui_3_16_0_1_1445939773516_4872"/>
      <w:bookmarkStart w:id="295" w:name="yui_3_16_0_1_1445939773516_4870"/>
      <w:bookmarkStart w:id="296" w:name="yui_3_16_0_1_1445939773516_4868"/>
      <w:bookmarkEnd w:id="294"/>
      <w:bookmarkEnd w:id="295"/>
      <w:bookmarkEnd w:id="296"/>
      <w:r>
        <w:rPr>
          <w:b/>
          <w:i/>
        </w:rPr>
        <w:t>Une persistance coûteuse du modèle économique de l'abonnement</w:t>
      </w:r>
      <w:bookmarkStart w:id="297" w:name="yui_3_16_0_1_1445939773516_4874"/>
      <w:bookmarkEnd w:id="297"/>
    </w:p>
    <w:p w:rsidR="0083184F" w:rsidRDefault="00EF767C">
      <w:pPr>
        <w:pStyle w:val="Textbody"/>
        <w:spacing w:after="0"/>
      </w:pPr>
      <w:bookmarkStart w:id="298" w:name="yui_3_16_0_1_1445939773516_4876"/>
      <w:bookmarkEnd w:id="298"/>
      <w:r>
        <w:t>Le développement grâce à ce type de « vente liée » du volume d'articles disponibles en OA natif au moment même de leur publication en revue va-t-il tuer le modèl</w:t>
      </w:r>
      <w:r>
        <w:t xml:space="preserve">e économique de l'abonnement ? Absolument pas. Il va au contraire le pérenniser. C'est vrai d'un point de vue macroéconomique : le marché mondial de la publication scientifique est estimé par le cabinet </w:t>
      </w:r>
      <w:bookmarkStart w:id="299" w:name="yui_3_16_0_1_1445939773516_4878"/>
      <w:bookmarkEnd w:id="299"/>
      <w:proofErr w:type="spellStart"/>
      <w:r>
        <w:rPr>
          <w:i/>
        </w:rPr>
        <w:t>Outsell</w:t>
      </w:r>
      <w:proofErr w:type="spellEnd"/>
      <w:r>
        <w:rPr>
          <w:rStyle w:val="Appelnotedebasdep"/>
          <w:i/>
        </w:rPr>
        <w:footnoteReference w:id="17"/>
      </w:r>
      <w:r>
        <w:t>à 12,8 Md. $ (donnée 201</w:t>
      </w:r>
      <w:r>
        <w:t xml:space="preserve">3). Ce même cabinet estime à 336 M$ le marché 2015 de la publication en OA Gold, lié aux prélèvements d'APC, soit 2,3% du marché de la publication scientifique. Toujours selon </w:t>
      </w:r>
      <w:proofErr w:type="spellStart"/>
      <w:r>
        <w:t>Outsell</w:t>
      </w:r>
      <w:proofErr w:type="spellEnd"/>
      <w:r>
        <w:t xml:space="preserve"> le marché des APC affiche une progression annuelle de 30%. Si l'on prolo</w:t>
      </w:r>
      <w:r>
        <w:t xml:space="preserve">nge cette tendance sur 10 ans et que l'on estime que le marché de l'abonnement ne progresse plus (ce qui est une approximation par défaut), le marché des APC atteindrait en 2024 4,6 Md $ soit 26% du marché de l'édition scientifique. Les 74% restant seront </w:t>
      </w:r>
      <w:r>
        <w:t xml:space="preserve">donc liés au marché classique de l'abonnement. </w:t>
      </w:r>
      <w:bookmarkStart w:id="300" w:name="yui_3_16_0_1_1445939773516_4886"/>
      <w:bookmarkStart w:id="301" w:name="yui_3_16_0_1_1445939773516_4884"/>
      <w:bookmarkEnd w:id="300"/>
      <w:bookmarkEnd w:id="301"/>
      <w:r>
        <w:rPr>
          <w:i/>
          <w:u w:val="single"/>
        </w:rPr>
        <w:t>Le modèle économique de l'abonnement a donc vocation à perdurer</w:t>
      </w:r>
      <w:r>
        <w:t xml:space="preserve">. Au niveau microéconomique qui est celui des </w:t>
      </w:r>
      <w:bookmarkStart w:id="302" w:name="yui_3_16_0_1_1445939773516_4888"/>
      <w:bookmarkEnd w:id="302"/>
      <w:r>
        <w:rPr>
          <w:i/>
        </w:rPr>
        <w:t xml:space="preserve">Compact </w:t>
      </w:r>
      <w:proofErr w:type="spellStart"/>
      <w:r>
        <w:rPr>
          <w:i/>
        </w:rPr>
        <w:t>agreements</w:t>
      </w:r>
      <w:proofErr w:type="spellEnd"/>
      <w:r>
        <w:t xml:space="preserve"> proposés par Springer il y a certes sur le papier une réduction de la facture « abonnements » à proportion de la facture « APC ». </w:t>
      </w:r>
      <w:bookmarkStart w:id="303" w:name="yui_3_16_0_1_1445939773516_4892"/>
      <w:bookmarkStart w:id="304" w:name="yui_3_16_0_1_1445939773516_4890"/>
      <w:bookmarkEnd w:id="303"/>
      <w:bookmarkEnd w:id="304"/>
      <w:r>
        <w:rPr>
          <w:i/>
          <w:u w:val="single"/>
        </w:rPr>
        <w:t xml:space="preserve">Springer peut à bon droit se vanter d'avoir résolu le problème du « double </w:t>
      </w:r>
      <w:proofErr w:type="spellStart"/>
      <w:r>
        <w:rPr>
          <w:i/>
          <w:u w:val="single"/>
        </w:rPr>
        <w:t>dipping</w:t>
      </w:r>
      <w:proofErr w:type="spellEnd"/>
      <w:r>
        <w:rPr>
          <w:i/>
          <w:u w:val="single"/>
        </w:rPr>
        <w:t> ». Mais seuls les signataires d'un compact</w:t>
      </w:r>
      <w:r>
        <w:rPr>
          <w:i/>
          <w:u w:val="single"/>
        </w:rPr>
        <w:t xml:space="preserve"> agreement bénéficieront de cette « réduction » de leur budget d'abonnements. Pour les autres Springer appliquera les prix catalogue des abonnements.</w:t>
      </w:r>
      <w:r>
        <w:t xml:space="preserve"> En bonne logique, la progression des volumes d'APC captés dans les revues sur abonnement devrait servir à </w:t>
      </w:r>
      <w:r>
        <w:t xml:space="preserve">dégonfler proportionnellement les tarifs catalogue des revues, et non seulement la facture « abonnements » de ceux qui souscrivent à un </w:t>
      </w:r>
      <w:bookmarkStart w:id="305" w:name="yui_3_16_0_1_1445939773516_4894"/>
      <w:bookmarkEnd w:id="305"/>
      <w:r>
        <w:rPr>
          <w:i/>
        </w:rPr>
        <w:t>Compact agreement</w:t>
      </w:r>
      <w:r>
        <w:t xml:space="preserve">. C'est ce que vient de concrétiser l'éditeur allemand de </w:t>
      </w:r>
      <w:proofErr w:type="spellStart"/>
      <w:r>
        <w:t>Gruyter</w:t>
      </w:r>
      <w:proofErr w:type="spellEnd"/>
      <w:r>
        <w:t xml:space="preserve"> (éditeur de 600 revues scientifiques)</w:t>
      </w:r>
      <w:r>
        <w:t xml:space="preserve"> qui a annoncé qu'une progression de 5% du nombre d'articles publiés en OA natif dans des publications sur abonnement se traduirait par une baisse de 5% de ses tarifs catalogue</w:t>
      </w:r>
      <w:r>
        <w:rPr>
          <w:rStyle w:val="Appelnotedebasdep"/>
        </w:rPr>
        <w:footnoteReference w:id="18"/>
      </w:r>
      <w:r>
        <w:t xml:space="preserve">. Springer n'a semble-t-il pas l'intention de suivre cette voie. Il gérera son business comme la juxtaposition de trois segments. Le premier correspondra aux </w:t>
      </w:r>
      <w:bookmarkStart w:id="306" w:name="yui_3_16_0_1_1445939773516_4900"/>
      <w:bookmarkEnd w:id="306"/>
      <w:r>
        <w:rPr>
          <w:i/>
        </w:rPr>
        <w:t xml:space="preserve">Compact </w:t>
      </w:r>
      <w:proofErr w:type="spellStart"/>
      <w:r>
        <w:rPr>
          <w:i/>
        </w:rPr>
        <w:t>agreements</w:t>
      </w:r>
      <w:proofErr w:type="spellEnd"/>
      <w:r>
        <w:t xml:space="preserve"> signés avec des clients grands comptes (grandes in</w:t>
      </w:r>
      <w:r>
        <w:t xml:space="preserve">stitutions de recherche et universités, consortiums). Le second segment sera celui des « abonnements résiduels » qui continueront à être payés au prix fort. Le terme « résiduel » ne doit pas ici induire en erreur : c'est probablement plus de la moitié des </w:t>
      </w:r>
      <w:r>
        <w:t xml:space="preserve">revenus de Springer qui continuera à être générée par les abonnements. Le troisième segment de marché sera celui du libre accès « natif » et des APC générées par les revues en libre accès de </w:t>
      </w:r>
      <w:proofErr w:type="spellStart"/>
      <w:r>
        <w:t>Biomed</w:t>
      </w:r>
      <w:proofErr w:type="spellEnd"/>
      <w:r>
        <w:t xml:space="preserve"> Central et de Springer </w:t>
      </w:r>
      <w:proofErr w:type="spellStart"/>
      <w:r>
        <w:t>lui même</w:t>
      </w:r>
      <w:proofErr w:type="spellEnd"/>
      <w:r>
        <w:t>. Même s'il est probablemen</w:t>
      </w:r>
      <w:r>
        <w:t xml:space="preserve">t d'une moindre rentabilité (ce qui reste à démonter), ce segment a vocation à être un moteur de croissance pour Springer. C'est ce modèle économique que valident la Max Planck </w:t>
      </w:r>
      <w:proofErr w:type="spellStart"/>
      <w:r>
        <w:t>Gesellschaft</w:t>
      </w:r>
      <w:proofErr w:type="spellEnd"/>
      <w:r>
        <w:t xml:space="preserve"> et le JISC en signant avec Springer. Et ils envoient </w:t>
      </w:r>
      <w:bookmarkStart w:id="307" w:name="yui_3_16_0_1_1445939773516_4904"/>
      <w:bookmarkStart w:id="308" w:name="yui_3_16_0_1_1445939773516_4902"/>
      <w:bookmarkEnd w:id="307"/>
      <w:bookmarkEnd w:id="308"/>
      <w:r>
        <w:rPr>
          <w:i/>
          <w:u w:val="single"/>
        </w:rPr>
        <w:t>un message cl</w:t>
      </w:r>
      <w:r>
        <w:rPr>
          <w:i/>
          <w:u w:val="single"/>
        </w:rPr>
        <w:t>air : toute ambition d'utiliser l'actuelle reconfiguration du modèle économique de la publication pour rééquilibrer au profit de la communauté scientifique la chaîne de valeur de l'édition est abandonnée</w:t>
      </w:r>
      <w:r>
        <w:t xml:space="preserve">. De facto ces </w:t>
      </w:r>
      <w:bookmarkStart w:id="309" w:name="yui_3_16_0_1_1445939773516_4906"/>
      <w:bookmarkEnd w:id="309"/>
      <w:r>
        <w:rPr>
          <w:i/>
        </w:rPr>
        <w:t xml:space="preserve">Compact </w:t>
      </w:r>
      <w:proofErr w:type="spellStart"/>
      <w:r>
        <w:rPr>
          <w:i/>
        </w:rPr>
        <w:t>agreements</w:t>
      </w:r>
      <w:proofErr w:type="spellEnd"/>
      <w:r>
        <w:t xml:space="preserve"> vont conforter la p</w:t>
      </w:r>
      <w:r>
        <w:t>osition de marché de Springer et des autres grands éditeurs for-profit  déséquilibrant un peu plus les rapports de force avec la recherche publique et clivant la communauté scientifique en deux strates : ceux qui seront couverts par un Compact Agreement, e</w:t>
      </w:r>
      <w:r>
        <w:t>t ceux qui ne le sont pas. Dans le modèle économique de « </w:t>
      </w:r>
      <w:proofErr w:type="spellStart"/>
      <w:r>
        <w:t>Toll</w:t>
      </w:r>
      <w:proofErr w:type="spellEnd"/>
      <w:r>
        <w:t xml:space="preserve"> Access » (accès sur abonnement) tous les chercheurs partaient sur un pied d'égalité (si on </w:t>
      </w:r>
      <w:proofErr w:type="spellStart"/>
      <w:r>
        <w:t>ingore</w:t>
      </w:r>
      <w:proofErr w:type="spellEnd"/>
      <w:r>
        <w:t xml:space="preserve"> les biais induits par la notoriété du chercheur et de son institution) s'agissant de publier. L</w:t>
      </w:r>
      <w:r>
        <w:t xml:space="preserve">es Compact </w:t>
      </w:r>
      <w:proofErr w:type="spellStart"/>
      <w:r>
        <w:t>agreements</w:t>
      </w:r>
      <w:proofErr w:type="spellEnd"/>
      <w:r>
        <w:t xml:space="preserve"> vont introduire pour la première fois une inégalité entre chercheurs </w:t>
      </w:r>
      <w:proofErr w:type="spellStart"/>
      <w:r>
        <w:t>publiants</w:t>
      </w:r>
      <w:proofErr w:type="spellEnd"/>
      <w:r>
        <w:t xml:space="preserve"> suivant qu'ils sont couverts ou non par un accord de ce type.</w:t>
      </w:r>
    </w:p>
    <w:p w:rsidR="0083184F" w:rsidRDefault="0083184F">
      <w:pPr>
        <w:pStyle w:val="Textbody"/>
        <w:spacing w:after="0"/>
      </w:pPr>
      <w:bookmarkStart w:id="310" w:name="yui_3_16_0_1_1445939773516_4912"/>
      <w:bookmarkStart w:id="311" w:name="yui_3_16_0_1_1445939773516_4910"/>
      <w:bookmarkEnd w:id="310"/>
      <w:bookmarkEnd w:id="311"/>
    </w:p>
    <w:p w:rsidR="0083184F" w:rsidRDefault="00EF767C">
      <w:pPr>
        <w:pStyle w:val="Textbody"/>
        <w:spacing w:after="0"/>
        <w:rPr>
          <w:b/>
          <w:i/>
        </w:rPr>
      </w:pPr>
      <w:bookmarkStart w:id="312" w:name="yui_3_16_0_1_1445939773516_4918"/>
      <w:bookmarkStart w:id="313" w:name="yui_3_16_0_1_1445939773516_4916"/>
      <w:bookmarkStart w:id="314" w:name="yui_3_16_0_1_1445939773516_4914"/>
      <w:bookmarkEnd w:id="312"/>
      <w:bookmarkEnd w:id="313"/>
      <w:bookmarkEnd w:id="314"/>
      <w:r>
        <w:rPr>
          <w:b/>
          <w:i/>
        </w:rPr>
        <w:t xml:space="preserve">Les Compact </w:t>
      </w:r>
      <w:proofErr w:type="spellStart"/>
      <w:r>
        <w:rPr>
          <w:b/>
          <w:i/>
        </w:rPr>
        <w:t>agreements</w:t>
      </w:r>
      <w:proofErr w:type="spellEnd"/>
      <w:r>
        <w:rPr>
          <w:b/>
          <w:i/>
        </w:rPr>
        <w:t xml:space="preserve"> brouillent les cartes</w:t>
      </w:r>
    </w:p>
    <w:p w:rsidR="0083184F" w:rsidRDefault="00EF767C">
      <w:pPr>
        <w:pStyle w:val="Textbody"/>
        <w:spacing w:after="0"/>
      </w:pPr>
      <w:bookmarkStart w:id="315" w:name="yui_3_16_0_1_1445939773516_4920"/>
      <w:bookmarkEnd w:id="315"/>
      <w:r>
        <w:t>Lors du 10ème anniversaire en 2011 de la déclar</w:t>
      </w:r>
      <w:r>
        <w:t xml:space="preserve">ation de Berlin, Peter </w:t>
      </w:r>
      <w:bookmarkStart w:id="316" w:name="yui_3_16_0_1_1445939773516_4924"/>
      <w:bookmarkStart w:id="317" w:name="yui_3_16_0_1_1445939773516_4922"/>
      <w:bookmarkEnd w:id="316"/>
      <w:bookmarkEnd w:id="317"/>
      <w:proofErr w:type="spellStart"/>
      <w:r>
        <w:t>Gruss</w:t>
      </w:r>
      <w:proofErr w:type="spellEnd"/>
      <w:r>
        <w:t xml:space="preserve">, Président de la Société Max Planck, déclarait : </w:t>
      </w:r>
      <w:bookmarkStart w:id="318" w:name="yui_3_16_0_1_1445939773516_4930"/>
      <w:bookmarkStart w:id="319" w:name="yui_3_16_0_1_1445939773516_4928"/>
      <w:bookmarkStart w:id="320" w:name="yui_3_16_0_1_1445939773516_4926"/>
      <w:bookmarkEnd w:id="318"/>
      <w:bookmarkEnd w:id="319"/>
      <w:bookmarkEnd w:id="320"/>
      <w:r>
        <w:rPr>
          <w:i/>
        </w:rPr>
        <w:t xml:space="preserve">« </w:t>
      </w:r>
      <w:proofErr w:type="spellStart"/>
      <w:r>
        <w:rPr>
          <w:i/>
        </w:rPr>
        <w:t>Instead</w:t>
      </w:r>
      <w:proofErr w:type="spellEnd"/>
      <w:r>
        <w:rPr>
          <w:i/>
        </w:rPr>
        <w:t xml:space="preserve"> of the black box of </w:t>
      </w:r>
      <w:proofErr w:type="spellStart"/>
      <w:r>
        <w:rPr>
          <w:i/>
        </w:rPr>
        <w:t>subscription</w:t>
      </w:r>
      <w:proofErr w:type="spellEnd"/>
      <w:r>
        <w:rPr>
          <w:i/>
        </w:rPr>
        <w:t xml:space="preserve"> </w:t>
      </w:r>
      <w:proofErr w:type="spellStart"/>
      <w:r>
        <w:rPr>
          <w:i/>
        </w:rPr>
        <w:t>price</w:t>
      </w:r>
      <w:proofErr w:type="spellEnd"/>
      <w:r>
        <w:rPr>
          <w:i/>
        </w:rPr>
        <w:t xml:space="preserve"> </w:t>
      </w:r>
      <w:proofErr w:type="spellStart"/>
      <w:r>
        <w:rPr>
          <w:i/>
        </w:rPr>
        <w:t>calculations</w:t>
      </w:r>
      <w:proofErr w:type="spellEnd"/>
      <w:r>
        <w:rPr>
          <w:i/>
        </w:rPr>
        <w:t xml:space="preserve">, </w:t>
      </w:r>
      <w:proofErr w:type="spellStart"/>
      <w:r>
        <w:rPr>
          <w:i/>
        </w:rPr>
        <w:t>we</w:t>
      </w:r>
      <w:proofErr w:type="spellEnd"/>
      <w:r>
        <w:rPr>
          <w:i/>
        </w:rPr>
        <w:t xml:space="preserve"> </w:t>
      </w:r>
      <w:proofErr w:type="spellStart"/>
      <w:r>
        <w:rPr>
          <w:i/>
        </w:rPr>
        <w:t>need</w:t>
      </w:r>
      <w:proofErr w:type="spellEnd"/>
      <w:r>
        <w:rPr>
          <w:i/>
        </w:rPr>
        <w:t xml:space="preserve"> </w:t>
      </w:r>
      <w:proofErr w:type="spellStart"/>
      <w:r>
        <w:rPr>
          <w:i/>
        </w:rPr>
        <w:t>models</w:t>
      </w:r>
      <w:proofErr w:type="spellEnd"/>
      <w:r>
        <w:rPr>
          <w:i/>
        </w:rPr>
        <w:t xml:space="preserve"> </w:t>
      </w:r>
      <w:proofErr w:type="spellStart"/>
      <w:r>
        <w:rPr>
          <w:i/>
        </w:rPr>
        <w:t>based</w:t>
      </w:r>
      <w:proofErr w:type="spellEnd"/>
      <w:r>
        <w:rPr>
          <w:i/>
        </w:rPr>
        <w:t xml:space="preserve"> on </w:t>
      </w:r>
      <w:proofErr w:type="spellStart"/>
      <w:r>
        <w:rPr>
          <w:i/>
        </w:rPr>
        <w:t>actual</w:t>
      </w:r>
      <w:proofErr w:type="spellEnd"/>
      <w:r>
        <w:rPr>
          <w:i/>
        </w:rPr>
        <w:t xml:space="preserve"> publication </w:t>
      </w:r>
      <w:proofErr w:type="spellStart"/>
      <w:r>
        <w:rPr>
          <w:i/>
        </w:rPr>
        <w:t>costs</w:t>
      </w:r>
      <w:proofErr w:type="spellEnd"/>
      <w:r>
        <w:rPr>
          <w:i/>
        </w:rPr>
        <w:t xml:space="preserve"> and </w:t>
      </w:r>
      <w:proofErr w:type="spellStart"/>
      <w:r>
        <w:rPr>
          <w:i/>
        </w:rPr>
        <w:t>characterized</w:t>
      </w:r>
      <w:proofErr w:type="spellEnd"/>
      <w:r>
        <w:rPr>
          <w:i/>
        </w:rPr>
        <w:t xml:space="preserve"> by </w:t>
      </w:r>
      <w:proofErr w:type="spellStart"/>
      <w:r>
        <w:rPr>
          <w:i/>
        </w:rPr>
        <w:t>transparency</w:t>
      </w:r>
      <w:proofErr w:type="spellEnd"/>
      <w:r>
        <w:rPr>
          <w:i/>
        </w:rPr>
        <w:t xml:space="preserve"> and </w:t>
      </w:r>
      <w:proofErr w:type="spellStart"/>
      <w:r>
        <w:rPr>
          <w:i/>
        </w:rPr>
        <w:t>sustainability</w:t>
      </w:r>
      <w:proofErr w:type="spellEnd"/>
      <w:r>
        <w:rPr>
          <w:i/>
        </w:rPr>
        <w:t>»</w:t>
      </w:r>
      <w:r>
        <w:rPr>
          <w:rStyle w:val="Appelnotedebasdep"/>
          <w:i/>
        </w:rPr>
        <w:footnoteReference w:id="19"/>
      </w:r>
      <w:r>
        <w:rPr>
          <w:i/>
        </w:rPr>
        <w:t xml:space="preserve">. </w:t>
      </w:r>
      <w:bookmarkStart w:id="322" w:name="yui_3_16_0_1_1445939773516_4940"/>
      <w:bookmarkStart w:id="323" w:name="yui_3_16_0_1_1445939773516_4938"/>
      <w:bookmarkStart w:id="324" w:name="yui_3_16_0_1_1445939773516_4936"/>
      <w:bookmarkEnd w:id="322"/>
      <w:bookmarkEnd w:id="323"/>
      <w:bookmarkEnd w:id="324"/>
      <w:r>
        <w:t xml:space="preserve">Or les </w:t>
      </w:r>
      <w:bookmarkStart w:id="325" w:name="yui_3_16_0_1_1445939773516_4946"/>
      <w:bookmarkStart w:id="326" w:name="yui_3_16_0_1_1445939773516_4944"/>
      <w:bookmarkStart w:id="327" w:name="yui_3_16_0_1_1445939773516_4942"/>
      <w:bookmarkEnd w:id="325"/>
      <w:bookmarkEnd w:id="326"/>
      <w:bookmarkEnd w:id="327"/>
      <w:r>
        <w:rPr>
          <w:i/>
        </w:rPr>
        <w:t xml:space="preserve">Compact </w:t>
      </w:r>
      <w:proofErr w:type="spellStart"/>
      <w:r>
        <w:rPr>
          <w:i/>
        </w:rPr>
        <w:t>agreements</w:t>
      </w:r>
      <w:bookmarkStart w:id="328" w:name="yui_3_16_0_1_1445939773516_4952"/>
      <w:bookmarkStart w:id="329" w:name="yui_3_16_0_1_1445939773516_4950"/>
      <w:bookmarkStart w:id="330" w:name="yui_3_16_0_1_1445939773516_4948"/>
      <w:bookmarkEnd w:id="328"/>
      <w:bookmarkEnd w:id="329"/>
      <w:bookmarkEnd w:id="330"/>
      <w:proofErr w:type="spellEnd"/>
      <w:r>
        <w:t xml:space="preserve"> éloignent de cet objectif de transparence des coûts. L'un des points positifs important du Gold Open Access est qu'il fait clairement apparaître que </w:t>
      </w:r>
      <w:bookmarkStart w:id="331" w:name="yui_3_16_0_1_1445939773516_4960"/>
      <w:bookmarkStart w:id="332" w:name="yui_3_16_0_1_1445939773516_4958"/>
      <w:bookmarkStart w:id="333" w:name="yui_3_16_0_1_1445939773516_4956"/>
      <w:bookmarkStart w:id="334" w:name="yui_3_16_0_1_1445939773516_4954"/>
      <w:bookmarkEnd w:id="331"/>
      <w:bookmarkEnd w:id="332"/>
      <w:bookmarkEnd w:id="333"/>
      <w:bookmarkEnd w:id="334"/>
      <w:r>
        <w:rPr>
          <w:i/>
          <w:u w:val="single"/>
        </w:rPr>
        <w:t>l'édition scientifique est avant tout une industrie de la prestation («</w:t>
      </w:r>
      <w:proofErr w:type="spellStart"/>
      <w:r>
        <w:rPr>
          <w:i/>
          <w:u w:val="single"/>
        </w:rPr>
        <w:t>Processing</w:t>
      </w:r>
      <w:proofErr w:type="spellEnd"/>
      <w:r>
        <w:rPr>
          <w:i/>
          <w:u w:val="single"/>
        </w:rPr>
        <w:t xml:space="preserve"> articles ») et secondair</w:t>
      </w:r>
      <w:r>
        <w:rPr>
          <w:i/>
          <w:u w:val="single"/>
        </w:rPr>
        <w:t>ement d'exploitation de plates-formes de services numériques et non, comme les éditeurs ont réussi à l'imposer au fil du temps, une industrie de l'exploitation de droits de propriété intellectuelle.</w:t>
      </w:r>
      <w:bookmarkStart w:id="335" w:name="yui_3_16_0_1_1445939773516_4966"/>
      <w:bookmarkStart w:id="336" w:name="yui_3_16_0_1_1445939773516_4964"/>
      <w:bookmarkStart w:id="337" w:name="yui_3_16_0_1_1445939773516_4962"/>
      <w:bookmarkEnd w:id="335"/>
      <w:bookmarkEnd w:id="336"/>
      <w:bookmarkEnd w:id="337"/>
      <w:r>
        <w:t xml:space="preserve"> Dans une industrie de prestation</w:t>
      </w:r>
      <w:r>
        <w:rPr>
          <w:rStyle w:val="Appelnotedebasdep"/>
        </w:rPr>
        <w:footnoteReference w:id="20"/>
      </w:r>
      <w:r>
        <w:t xml:space="preserve"> un paramètre essentiel est la transparence des coûts. Or en fusionnant dans une seule offre abonnement et APC Springer brouille les cartes : quelle </w:t>
      </w:r>
      <w:r>
        <w:t>structure de coûts adopter pour rendre compte de ce service hybride ?</w:t>
      </w:r>
    </w:p>
    <w:p w:rsidR="0083184F" w:rsidRDefault="0083184F">
      <w:pPr>
        <w:pStyle w:val="Textbody"/>
        <w:spacing w:after="0"/>
        <w:rPr>
          <w:sz w:val="16"/>
          <w:szCs w:val="16"/>
        </w:rPr>
      </w:pPr>
    </w:p>
    <w:p w:rsidR="0083184F" w:rsidRDefault="00EF767C">
      <w:pPr>
        <w:pStyle w:val="Textbody"/>
        <w:spacing w:after="0"/>
      </w:pPr>
      <w:bookmarkStart w:id="341" w:name="yui_3_16_0_1_1445939773516_4978"/>
      <w:bookmarkStart w:id="342" w:name="yui_3_16_0_1_1445939773516_4976"/>
      <w:bookmarkStart w:id="343" w:name="yui_3_16_0_1_1445939773516_4974"/>
      <w:bookmarkStart w:id="344" w:name="yui_3_16_0_1_1445939773516_4972"/>
      <w:bookmarkEnd w:id="341"/>
      <w:bookmarkEnd w:id="342"/>
      <w:bookmarkEnd w:id="343"/>
      <w:bookmarkEnd w:id="344"/>
      <w:r>
        <w:t>Pourtant on le répète : un rapport plus sain de la communauté scientifique aux grands éditeurs qui sont pour elle des partenaires essentiels (dont il ne s'agit nullement de nier l'appor</w:t>
      </w:r>
      <w:r>
        <w:t>t) passe par un dégonflement de leurs marges excessives et par la restitution aux chercheurs des sommes ainsi dégagées. Or une discussion sur ce point avec les éditeurs passe par une transparence sur les niveaux de coûts de la prestation éditoriale et un p</w:t>
      </w:r>
      <w:r>
        <w:t xml:space="preserve">artage de cette transparence avec les professionnels de l'IST. </w:t>
      </w:r>
      <w:bookmarkStart w:id="345" w:name="yui_3_16_0_1_1445939773516_4986"/>
      <w:bookmarkStart w:id="346" w:name="yui_3_16_0_1_1445939773516_4984"/>
      <w:bookmarkStart w:id="347" w:name="yui_3_16_0_1_1445939773516_4982"/>
      <w:bookmarkStart w:id="348" w:name="yui_3_16_0_1_1445939773516_4980"/>
      <w:bookmarkEnd w:id="345"/>
      <w:bookmarkEnd w:id="346"/>
      <w:bookmarkEnd w:id="347"/>
      <w:bookmarkEnd w:id="348"/>
      <w:r>
        <w:rPr>
          <w:i/>
          <w:u w:val="single"/>
        </w:rPr>
        <w:t>Les accords signés par le JISC, la Max Planck, les universités et instituts de recherche autrichiennes et néerlandaises tournent le dos à cette exigence de transparence sur les coûts, sous prét</w:t>
      </w:r>
      <w:r>
        <w:rPr>
          <w:i/>
          <w:u w:val="single"/>
        </w:rPr>
        <w:t>exte d'accélérer la transition vers un Gold Open Access généralisé</w:t>
      </w:r>
      <w:bookmarkStart w:id="349" w:name="yui_3_16_0_1_1445939773516_4992"/>
      <w:bookmarkStart w:id="350" w:name="yui_3_16_0_1_1445939773516_4990"/>
      <w:bookmarkStart w:id="351" w:name="yui_3_16_0_1_1445939773516_4988"/>
      <w:bookmarkEnd w:id="349"/>
      <w:bookmarkEnd w:id="350"/>
      <w:bookmarkEnd w:id="351"/>
      <w:r>
        <w:t>.</w:t>
      </w:r>
    </w:p>
    <w:p w:rsidR="0083184F" w:rsidRDefault="0083184F">
      <w:pPr>
        <w:pStyle w:val="Textbody"/>
        <w:spacing w:after="0"/>
      </w:pPr>
      <w:bookmarkStart w:id="352" w:name="yui_3_16_0_1_1445939773516_4996"/>
      <w:bookmarkStart w:id="353" w:name="yui_3_16_0_1_1445939773516_4994"/>
      <w:bookmarkEnd w:id="352"/>
      <w:bookmarkEnd w:id="353"/>
    </w:p>
    <w:p w:rsidR="0083184F" w:rsidRDefault="00EF767C">
      <w:pPr>
        <w:pStyle w:val="Textbody"/>
        <w:spacing w:after="0"/>
        <w:rPr>
          <w:b/>
          <w:i/>
        </w:rPr>
      </w:pPr>
      <w:bookmarkStart w:id="354" w:name="yui_3_16_0_1_1445939773516_5006"/>
      <w:bookmarkStart w:id="355" w:name="yui_3_16_0_1_1445939773516_5004"/>
      <w:bookmarkStart w:id="356" w:name="yui_3_16_0_1_1445939773516_5002"/>
      <w:bookmarkStart w:id="357" w:name="yui_3_16_0_1_1445939773516_5000"/>
      <w:bookmarkStart w:id="358" w:name="yui_3_16_0_1_1445939773516_4998"/>
      <w:bookmarkEnd w:id="354"/>
      <w:bookmarkEnd w:id="355"/>
      <w:bookmarkEnd w:id="356"/>
      <w:bookmarkEnd w:id="357"/>
      <w:bookmarkEnd w:id="358"/>
      <w:r>
        <w:rPr>
          <w:b/>
          <w:i/>
        </w:rPr>
        <w:t>Le naufrage d'une ambition européenne</w:t>
      </w:r>
    </w:p>
    <w:p w:rsidR="0083184F" w:rsidRDefault="00EF767C">
      <w:pPr>
        <w:pStyle w:val="Textbody"/>
        <w:spacing w:after="0"/>
      </w:pPr>
      <w:bookmarkStart w:id="359" w:name="yui_3_16_0_1_1445939773516_5014"/>
      <w:bookmarkStart w:id="360" w:name="yui_3_16_0_1_1445939773516_5012"/>
      <w:bookmarkStart w:id="361" w:name="yui_3_16_0_1_1445939773516_5010"/>
      <w:bookmarkStart w:id="362" w:name="yui_3_16_0_1_1445939773516_5008"/>
      <w:bookmarkEnd w:id="359"/>
      <w:bookmarkEnd w:id="360"/>
      <w:bookmarkEnd w:id="361"/>
      <w:bookmarkEnd w:id="362"/>
      <w:r>
        <w:t>Cette exigence de transparence et cette ambition de reconfiguration de l'écosystème de la publication scientifique étaient, au niveau européen portée</w:t>
      </w:r>
      <w:r>
        <w:t xml:space="preserve">s par </w:t>
      </w:r>
      <w:bookmarkStart w:id="363" w:name="yui_3_16_0_1_1445939773516_5020"/>
      <w:bookmarkStart w:id="364" w:name="yui_3_16_0_1_1445939773516_5018"/>
      <w:bookmarkStart w:id="365" w:name="yui_3_16_0_1_1445939773516_5016"/>
      <w:bookmarkEnd w:id="363"/>
      <w:bookmarkEnd w:id="364"/>
      <w:bookmarkEnd w:id="365"/>
      <w:r>
        <w:rPr>
          <w:i/>
        </w:rPr>
        <w:t>Science Europe</w:t>
      </w:r>
      <w:bookmarkStart w:id="366" w:name="yui_3_16_0_1_1445939773516_5026"/>
      <w:bookmarkStart w:id="367" w:name="yui_3_16_0_1_1445939773516_5024"/>
      <w:bookmarkStart w:id="368" w:name="yui_3_16_0_1_1445939773516_5022"/>
      <w:bookmarkEnd w:id="366"/>
      <w:bookmarkEnd w:id="367"/>
      <w:bookmarkEnd w:id="368"/>
      <w:r>
        <w:t xml:space="preserve"> (</w:t>
      </w:r>
      <w:hyperlink r:id="rId12" w:history="1">
        <w:r>
          <w:t>www.scienceeurope.org</w:t>
        </w:r>
      </w:hyperlink>
      <w:r>
        <w:t>), une association créée en 2011 par 7 agences de financement de la recherche issues des plus grands pays européens. Aujourd'hui Science Europe compte 50 membres dont</w:t>
      </w:r>
      <w:r>
        <w:t xml:space="preserve"> de très grands organismes de recherche (Max Planck </w:t>
      </w:r>
      <w:proofErr w:type="spellStart"/>
      <w:r>
        <w:t>Gesellschaft</w:t>
      </w:r>
      <w:proofErr w:type="spellEnd"/>
      <w:r>
        <w:t>, CNRS, INRA, etc.) et la grande majorité des agences de financement ou de gouvernance de la recherche dans les différents pays européens, dont l'Allemagne et la Grande-Bretagne. L'appartenanc</w:t>
      </w:r>
      <w:r>
        <w:t>e à Science Europe suppose d'avoir adhéré aux « </w:t>
      </w:r>
      <w:bookmarkStart w:id="369" w:name="yui_3_16_0_1_1445939773516_5030"/>
      <w:bookmarkEnd w:id="369"/>
      <w:proofErr w:type="spellStart"/>
      <w:r>
        <w:rPr>
          <w:i/>
        </w:rPr>
        <w:t>Principles</w:t>
      </w:r>
      <w:proofErr w:type="spellEnd"/>
      <w:r>
        <w:rPr>
          <w:i/>
        </w:rPr>
        <w:t xml:space="preserve"> for the Transition to Open Access </w:t>
      </w:r>
      <w:bookmarkStart w:id="370" w:name="yui_3_16_0_1_1445939773516_5036"/>
      <w:bookmarkStart w:id="371" w:name="yui_3_16_0_1_1445939773516_5034"/>
      <w:bookmarkStart w:id="372" w:name="yui_3_16_0_1_1445939773516_5032"/>
      <w:bookmarkEnd w:id="370"/>
      <w:bookmarkEnd w:id="371"/>
      <w:bookmarkEnd w:id="372"/>
      <w:r>
        <w:rPr>
          <w:i/>
        </w:rPr>
        <w:t xml:space="preserve">to </w:t>
      </w:r>
      <w:proofErr w:type="spellStart"/>
      <w:r>
        <w:rPr>
          <w:i/>
        </w:rPr>
        <w:t>Research</w:t>
      </w:r>
      <w:proofErr w:type="spellEnd"/>
      <w:r>
        <w:rPr>
          <w:i/>
        </w:rPr>
        <w:t xml:space="preserve"> Publications</w:t>
      </w:r>
      <w:bookmarkStart w:id="373" w:name="yui_3_16_0_1_1445939773516_5040"/>
      <w:bookmarkStart w:id="374" w:name="yui_3_16_0_1_1445939773516_5038"/>
      <w:bookmarkEnd w:id="373"/>
      <w:bookmarkEnd w:id="374"/>
      <w:r>
        <w:t> »</w:t>
      </w:r>
      <w:r>
        <w:rPr>
          <w:rStyle w:val="Appelnotedebasdep"/>
        </w:rPr>
        <w:footnoteReference w:id="21"/>
      </w:r>
      <w:r>
        <w:t xml:space="preserve"> publiés par l'association en avril 2013 ». Parmi ces principes on en citera deux : « </w:t>
      </w:r>
      <w:bookmarkStart w:id="375" w:name="yui_3_16_0_1_1445939773516_5050"/>
      <w:bookmarkStart w:id="376" w:name="yui_3_16_0_1_1445939773516_5048"/>
      <w:bookmarkStart w:id="377" w:name="yui_3_16_0_1_1445939773516_5046"/>
      <w:bookmarkEnd w:id="375"/>
      <w:bookmarkEnd w:id="376"/>
      <w:bookmarkEnd w:id="377"/>
      <w:proofErr w:type="spellStart"/>
      <w:r>
        <w:rPr>
          <w:i/>
        </w:rPr>
        <w:t>Therefore</w:t>
      </w:r>
      <w:proofErr w:type="spellEnd"/>
      <w:r>
        <w:rPr>
          <w:i/>
        </w:rPr>
        <w:t xml:space="preserve"> the Science Europe </w:t>
      </w:r>
      <w:proofErr w:type="spellStart"/>
      <w:r>
        <w:rPr>
          <w:i/>
        </w:rPr>
        <w:t>Member</w:t>
      </w:r>
      <w:proofErr w:type="spellEnd"/>
      <w:r>
        <w:rPr>
          <w:i/>
        </w:rPr>
        <w:t xml:space="preserve"> Organisations (...) :</w:t>
      </w:r>
    </w:p>
    <w:p w:rsidR="0083184F" w:rsidRPr="00EF767C" w:rsidRDefault="00EF767C">
      <w:pPr>
        <w:pStyle w:val="Textbody"/>
        <w:numPr>
          <w:ilvl w:val="0"/>
          <w:numId w:val="2"/>
        </w:numPr>
        <w:spacing w:after="0"/>
        <w:rPr>
          <w:lang w:val="en-US"/>
        </w:rPr>
      </w:pPr>
      <w:bookmarkStart w:id="378" w:name="yui_3_16_0_1_1445939773516_5062"/>
      <w:bookmarkStart w:id="379" w:name="yui_3_16_0_1_1445939773516_5060"/>
      <w:bookmarkStart w:id="380" w:name="yui_3_16_0_1_1445939773516_5058"/>
      <w:bookmarkStart w:id="381" w:name="yui_3_16_0_1_1445939773516_5056"/>
      <w:bookmarkStart w:id="382" w:name="yui_3_16_0_1_1445939773516_5054"/>
      <w:bookmarkStart w:id="383" w:name="yui_3_16_0_1_1445939773516_5052"/>
      <w:bookmarkEnd w:id="378"/>
      <w:bookmarkEnd w:id="379"/>
      <w:bookmarkEnd w:id="380"/>
      <w:bookmarkEnd w:id="381"/>
      <w:bookmarkEnd w:id="382"/>
      <w:bookmarkEnd w:id="383"/>
      <w:r>
        <w:rPr>
          <w:i/>
          <w:lang w:val="en-US"/>
        </w:rPr>
        <w:t>require that funding of Open Access publication</w:t>
      </w:r>
      <w:r>
        <w:rPr>
          <w:i/>
          <w:lang w:val="en-US"/>
        </w:rPr>
        <w:t xml:space="preserve"> fees is part of a transparent cost structure, incorporating a </w:t>
      </w:r>
      <w:bookmarkStart w:id="384" w:name="yui_3_16_0_1_1445939773516_5066"/>
      <w:bookmarkStart w:id="385" w:name="yui_3_16_0_1_1445939773516_5064"/>
      <w:bookmarkEnd w:id="384"/>
      <w:bookmarkEnd w:id="385"/>
      <w:r>
        <w:rPr>
          <w:i/>
          <w:lang w:val="en-US"/>
        </w:rPr>
        <w:t>clear picture of publishers’ service costs,</w:t>
      </w:r>
    </w:p>
    <w:p w:rsidR="0083184F" w:rsidRPr="00EF767C" w:rsidRDefault="00EF767C">
      <w:pPr>
        <w:pStyle w:val="Textbody"/>
        <w:numPr>
          <w:ilvl w:val="0"/>
          <w:numId w:val="1"/>
        </w:numPr>
        <w:spacing w:after="0"/>
        <w:rPr>
          <w:lang w:val="en-US"/>
        </w:rPr>
      </w:pPr>
      <w:bookmarkStart w:id="386" w:name="yui_3_16_0_1_1445939773516_5076"/>
      <w:bookmarkStart w:id="387" w:name="yui_3_16_0_1_1445939773516_5074"/>
      <w:bookmarkStart w:id="388" w:name="yui_3_16_0_1_1445939773516_5072"/>
      <w:bookmarkStart w:id="389" w:name="yui_3_16_0_1_1445939773516_5070"/>
      <w:bookmarkStart w:id="390" w:name="yui_3_16_0_1_1445939773516_5068"/>
      <w:bookmarkEnd w:id="386"/>
      <w:bookmarkEnd w:id="387"/>
      <w:bookmarkEnd w:id="388"/>
      <w:bookmarkEnd w:id="389"/>
      <w:bookmarkEnd w:id="390"/>
      <w:r>
        <w:rPr>
          <w:i/>
          <w:lang w:val="en-US"/>
        </w:rPr>
        <w:t xml:space="preserve">stress that </w:t>
      </w:r>
      <w:bookmarkStart w:id="391" w:name="yui_3_16_0_1_1445939773516_5082"/>
      <w:bookmarkStart w:id="392" w:name="yui_3_16_0_1_1445939773516_5080"/>
      <w:bookmarkStart w:id="393" w:name="yui_3_16_0_1_1445939773516_5078"/>
      <w:bookmarkEnd w:id="391"/>
      <w:bookmarkEnd w:id="392"/>
      <w:bookmarkEnd w:id="393"/>
      <w:r>
        <w:rPr>
          <w:b/>
          <w:i/>
          <w:lang w:val="en-US"/>
        </w:rPr>
        <w:t>the hybrid model</w:t>
      </w:r>
      <w:bookmarkStart w:id="394" w:name="yui_3_16_0_1_1445939773516_5086"/>
      <w:bookmarkStart w:id="395" w:name="yui_3_16_0_1_1445939773516_5084"/>
      <w:bookmarkEnd w:id="394"/>
      <w:bookmarkEnd w:id="395"/>
      <w:r>
        <w:rPr>
          <w:i/>
          <w:lang w:val="en-US"/>
        </w:rPr>
        <w:t xml:space="preserve">, as currently defined and implemented by publishers, </w:t>
      </w:r>
      <w:bookmarkStart w:id="396" w:name="yui_3_16_0_1_1445939773516_5092"/>
      <w:bookmarkStart w:id="397" w:name="yui_3_16_0_1_1445939773516_5090"/>
      <w:bookmarkStart w:id="398" w:name="yui_3_16_0_1_1445939773516_5088"/>
      <w:bookmarkEnd w:id="396"/>
      <w:bookmarkEnd w:id="397"/>
      <w:bookmarkEnd w:id="398"/>
      <w:r>
        <w:rPr>
          <w:b/>
          <w:i/>
          <w:lang w:val="en-US"/>
        </w:rPr>
        <w:t xml:space="preserve">is not a working and viable pathway to Open Access </w:t>
      </w:r>
      <w:bookmarkStart w:id="399" w:name="yui_3_16_0_1_1445939773516_5100"/>
      <w:bookmarkStart w:id="400" w:name="yui_3_16_0_1_1445939773516_5098"/>
      <w:bookmarkStart w:id="401" w:name="yui_3_16_0_1_1445939773516_5096"/>
      <w:bookmarkStart w:id="402" w:name="yui_3_16_0_1_1445939773516_5094"/>
      <w:bookmarkEnd w:id="399"/>
      <w:bookmarkEnd w:id="400"/>
      <w:bookmarkEnd w:id="401"/>
      <w:bookmarkEnd w:id="402"/>
      <w:r>
        <w:rPr>
          <w:lang w:val="en-US"/>
        </w:rPr>
        <w:t xml:space="preserve">(NDLR : </w:t>
      </w:r>
      <w:proofErr w:type="spellStart"/>
      <w:r>
        <w:rPr>
          <w:lang w:val="en-US"/>
        </w:rPr>
        <w:t>souligné</w:t>
      </w:r>
      <w:proofErr w:type="spellEnd"/>
      <w:r>
        <w:rPr>
          <w:lang w:val="en-US"/>
        </w:rPr>
        <w:t xml:space="preserve"> par nous)</w:t>
      </w:r>
      <w:bookmarkStart w:id="403" w:name="yui_3_16_0_1_1445939773516_5106"/>
      <w:bookmarkStart w:id="404" w:name="yui_3_16_0_1_1445939773516_5104"/>
      <w:bookmarkStart w:id="405" w:name="yui_3_16_0_1_1445939773516_5102"/>
      <w:bookmarkEnd w:id="403"/>
      <w:bookmarkEnd w:id="404"/>
      <w:bookmarkEnd w:id="405"/>
      <w:r>
        <w:rPr>
          <w:i/>
          <w:lang w:val="en-US"/>
        </w:rPr>
        <w:t xml:space="preserve">. Any model for transition to Open Access supported by Science Europe Member </w:t>
      </w:r>
      <w:proofErr w:type="spellStart"/>
      <w:r>
        <w:rPr>
          <w:i/>
          <w:lang w:val="en-US"/>
        </w:rPr>
        <w:t>Organisations</w:t>
      </w:r>
      <w:proofErr w:type="spellEnd"/>
      <w:r>
        <w:rPr>
          <w:i/>
          <w:lang w:val="en-US"/>
        </w:rPr>
        <w:t xml:space="preserve"> must prevent ‘double dipping’ and increase cost transparency ».</w:t>
      </w:r>
    </w:p>
    <w:p w:rsidR="0083184F" w:rsidRDefault="0083184F">
      <w:pPr>
        <w:pStyle w:val="Textbody"/>
        <w:spacing w:after="0"/>
        <w:rPr>
          <w:i/>
          <w:sz w:val="16"/>
          <w:szCs w:val="16"/>
          <w:lang w:val="en-US"/>
        </w:rPr>
      </w:pPr>
    </w:p>
    <w:p w:rsidR="0083184F" w:rsidRDefault="00EF767C">
      <w:pPr>
        <w:pStyle w:val="Textbody"/>
        <w:spacing w:after="0"/>
      </w:pPr>
      <w:r>
        <w:t xml:space="preserve">En signant des </w:t>
      </w:r>
      <w:bookmarkStart w:id="406" w:name="yui_3_16_0_1_1445939773516_5118"/>
      <w:bookmarkStart w:id="407" w:name="yui_3_16_0_1_1445939773516_5116"/>
      <w:bookmarkStart w:id="408" w:name="yui_3_16_0_1_1445939773516_5114"/>
      <w:bookmarkEnd w:id="406"/>
      <w:bookmarkEnd w:id="407"/>
      <w:bookmarkEnd w:id="408"/>
      <w:r>
        <w:rPr>
          <w:i/>
        </w:rPr>
        <w:t>Compact agreement</w:t>
      </w:r>
      <w:bookmarkStart w:id="409" w:name="yui_3_16_0_1_1445939773516_5122"/>
      <w:bookmarkStart w:id="410" w:name="yui_3_16_0_1_1445939773516_5120"/>
      <w:bookmarkEnd w:id="409"/>
      <w:bookmarkEnd w:id="410"/>
      <w:r>
        <w:t xml:space="preserve"> la Max Planck </w:t>
      </w:r>
      <w:proofErr w:type="spellStart"/>
      <w:r>
        <w:t>Gesellschaft</w:t>
      </w:r>
      <w:proofErr w:type="spellEnd"/>
      <w:r>
        <w:t xml:space="preserve"> et le JISC renie ces engagemen</w:t>
      </w:r>
      <w:r>
        <w:t xml:space="preserve">ts auxquels ils avaient pourtant adhéré en 2013. Il est inutile de crier au parjure : cela prouve simplement que quelquefois la main droite ne sait pas ce que fait la main gauche et que la construction d'une ambition européenne en matière de libre accès à </w:t>
      </w:r>
      <w:r>
        <w:t>la publication scientifique est une tâche qu'il faut sans cesse et avec patience remettre sur le métier.</w:t>
      </w:r>
    </w:p>
    <w:p w:rsidR="0083184F" w:rsidRDefault="0083184F">
      <w:pPr>
        <w:pStyle w:val="Textbody"/>
        <w:spacing w:after="0"/>
      </w:pPr>
      <w:bookmarkStart w:id="411" w:name="yui_3_16_0_1_1445939773516_5126"/>
      <w:bookmarkStart w:id="412" w:name="yui_3_16_0_1_1445939773516_5124"/>
      <w:bookmarkEnd w:id="411"/>
      <w:bookmarkEnd w:id="412"/>
    </w:p>
    <w:p w:rsidR="0083184F" w:rsidRDefault="00EF767C">
      <w:pPr>
        <w:pStyle w:val="Textbody"/>
        <w:spacing w:after="0"/>
        <w:rPr>
          <w:b/>
          <w:i/>
        </w:rPr>
      </w:pPr>
      <w:bookmarkStart w:id="413" w:name="yui_3_16_0_1_1445939773516_5132"/>
      <w:bookmarkStart w:id="414" w:name="yui_3_16_0_1_1445939773516_5130"/>
      <w:bookmarkStart w:id="415" w:name="yui_3_16_0_1_1445939773516_5128"/>
      <w:bookmarkEnd w:id="413"/>
      <w:bookmarkEnd w:id="414"/>
      <w:bookmarkEnd w:id="415"/>
      <w:r>
        <w:rPr>
          <w:b/>
          <w:i/>
        </w:rPr>
        <w:t>Quid de la position française sur ces questions ?</w:t>
      </w:r>
    </w:p>
    <w:p w:rsidR="0083184F" w:rsidRDefault="00EF767C">
      <w:pPr>
        <w:pStyle w:val="Textbody"/>
        <w:spacing w:after="0"/>
      </w:pPr>
      <w:bookmarkStart w:id="416" w:name="yui_3_16_0_1_1445939773516_5134"/>
      <w:bookmarkEnd w:id="416"/>
      <w:r>
        <w:t>On sait que les perspectives de renégociation des contrats pluriannuels avec Springer avaient, au se</w:t>
      </w:r>
      <w:r>
        <w:t xml:space="preserve">in de </w:t>
      </w:r>
      <w:bookmarkStart w:id="417" w:name="yui_3_16_0_1_1445939773516_5136"/>
      <w:bookmarkEnd w:id="417"/>
      <w:r>
        <w:rPr>
          <w:i/>
        </w:rPr>
        <w:t>Couperin</w:t>
      </w:r>
      <w:r>
        <w:t xml:space="preserve">, le consortium qui porte ces contrats, suscité des divergences d'analyse entre la présidence, favorable au lancement d'une négociation autour d'un concept de </w:t>
      </w:r>
      <w:bookmarkStart w:id="418" w:name="yui_3_16_0_1_1445939773516_5138"/>
      <w:bookmarkEnd w:id="418"/>
      <w:r>
        <w:rPr>
          <w:i/>
        </w:rPr>
        <w:t>Compact agreement</w:t>
      </w:r>
      <w:r>
        <w:t xml:space="preserve"> et une partie des membres du consortium. EPRIST, dans une note en</w:t>
      </w:r>
      <w:r>
        <w:t xml:space="preserve"> date du 10 avril soumise à l'assemblée générale de Couperin avait exprimé son scepticisme sur l'opportunité, l'intérêt et la faisabilité d'un couplage a priori de négociations sur les budgets d'abonnements et les budgets APC. Cette différence de sensibili</w:t>
      </w:r>
      <w:r>
        <w:t xml:space="preserve">té au sein de l'ESR français avait débouché d'une part sur la décision de négocier avec Springer un simple avenant au contrat de </w:t>
      </w:r>
      <w:proofErr w:type="spellStart"/>
      <w:r>
        <w:t>big</w:t>
      </w:r>
      <w:proofErr w:type="spellEnd"/>
      <w:r>
        <w:t>-deal en cours pour le prolonger d'un an voire deux, et d'autre part sur la mise en place d'un groupe de travail chargé de t</w:t>
      </w:r>
      <w:r>
        <w:t>rancher ce débat.</w:t>
      </w:r>
    </w:p>
    <w:p w:rsidR="0083184F" w:rsidRDefault="0083184F">
      <w:pPr>
        <w:pStyle w:val="Textbody"/>
        <w:spacing w:after="0"/>
      </w:pPr>
      <w:bookmarkStart w:id="419" w:name="yui_3_16_0_1_1445939773516_5146"/>
      <w:bookmarkStart w:id="420" w:name="yui_3_16_0_1_1445939773516_5144"/>
      <w:bookmarkEnd w:id="419"/>
      <w:bookmarkEnd w:id="420"/>
    </w:p>
    <w:p w:rsidR="0083184F" w:rsidRDefault="00EF767C">
      <w:pPr>
        <w:pStyle w:val="Textbody"/>
        <w:spacing w:after="0"/>
      </w:pPr>
      <w:bookmarkStart w:id="421" w:name="yui_3_16_0_1_1445939773516_5148"/>
      <w:bookmarkEnd w:id="421"/>
      <w:r>
        <w:t xml:space="preserve">Paradoxalement le fait que la France n'ait pas franchi le pas du </w:t>
      </w:r>
      <w:bookmarkStart w:id="422" w:name="yui_3_16_0_1_1445939773516_5150"/>
      <w:bookmarkEnd w:id="422"/>
      <w:r>
        <w:rPr>
          <w:i/>
        </w:rPr>
        <w:t xml:space="preserve">Compact agreement </w:t>
      </w:r>
      <w:bookmarkStart w:id="423" w:name="yui_3_16_0_1_1445939773516_5152"/>
      <w:bookmarkEnd w:id="423"/>
      <w:r>
        <w:t>pourrait lui donner un rôle actif au plan européen dans la transition qui s'amorce : il s'agirait d'abord d'impulser une discussion directe avec les diffé</w:t>
      </w:r>
      <w:r>
        <w:t xml:space="preserve">rentes parties prenantes, dont le JISC et la Max Planck </w:t>
      </w:r>
      <w:proofErr w:type="spellStart"/>
      <w:r>
        <w:t>Gesellschaft</w:t>
      </w:r>
      <w:proofErr w:type="spellEnd"/>
      <w:r>
        <w:t xml:space="preserve">, pour avoir une connaissance partagée des conditions contractuelles proposées par Springer </w:t>
      </w:r>
      <w:proofErr w:type="spellStart"/>
      <w:r>
        <w:t>etmain</w:t>
      </w:r>
      <w:proofErr w:type="spellEnd"/>
      <w:r>
        <w:t xml:space="preserve"> par les autres éditeurs ; il s'agirait ensuite dans le cadre de </w:t>
      </w:r>
      <w:bookmarkStart w:id="424" w:name="yui_3_16_0_1_1445939773516_5154"/>
      <w:bookmarkEnd w:id="424"/>
      <w:r>
        <w:rPr>
          <w:i/>
        </w:rPr>
        <w:t>Science Europe</w:t>
      </w:r>
      <w:bookmarkStart w:id="425" w:name="yui_3_16_0_1_1445939773516_5156"/>
      <w:bookmarkEnd w:id="425"/>
      <w:r>
        <w:t xml:space="preserve"> d'impulser</w:t>
      </w:r>
      <w:r>
        <w:t xml:space="preserve"> l'effort de transparence sur les coûts de la prestation éditoriale</w:t>
      </w:r>
      <w:r>
        <w:rPr>
          <w:rStyle w:val="Appelnotedebasdep"/>
        </w:rPr>
        <w:footnoteReference w:id="22"/>
      </w:r>
      <w:r>
        <w:t xml:space="preserve">qu'appelait de ses vœux Peter </w:t>
      </w:r>
      <w:proofErr w:type="spellStart"/>
      <w:r>
        <w:t>Gruss</w:t>
      </w:r>
      <w:proofErr w:type="spellEnd"/>
      <w:r>
        <w:t xml:space="preserve">. </w:t>
      </w:r>
      <w:bookmarkStart w:id="427" w:name="yui_3_16_0_1_1445939773516_5164"/>
      <w:bookmarkStart w:id="428" w:name="yui_3_16_0_1_1445939773516_5162"/>
      <w:bookmarkEnd w:id="427"/>
      <w:bookmarkEnd w:id="428"/>
      <w:r>
        <w:rPr>
          <w:i/>
          <w:u w:val="single"/>
        </w:rPr>
        <w:t xml:space="preserve">L'objectif pourrait être de publier un </w:t>
      </w:r>
      <w:proofErr w:type="spellStart"/>
      <w:r>
        <w:rPr>
          <w:i/>
          <w:u w:val="single"/>
        </w:rPr>
        <w:t>barême</w:t>
      </w:r>
      <w:proofErr w:type="spellEnd"/>
      <w:r>
        <w:rPr>
          <w:i/>
          <w:u w:val="single"/>
        </w:rPr>
        <w:t xml:space="preserve"> indicatif de référence indépendants des tarifs des éditeurs de ce q</w:t>
      </w:r>
      <w:r>
        <w:rPr>
          <w:i/>
          <w:u w:val="single"/>
        </w:rPr>
        <w:t>u'il est acceptable de payer comme niveau d'APC dans le cadre d'une publication en libre accès natif et de trouver une solution acceptable par tous au problème du double-</w:t>
      </w:r>
      <w:proofErr w:type="spellStart"/>
      <w:r>
        <w:rPr>
          <w:i/>
          <w:u w:val="single"/>
        </w:rPr>
        <w:t>dipping</w:t>
      </w:r>
      <w:proofErr w:type="spellEnd"/>
      <w:r>
        <w:rPr>
          <w:i/>
          <w:u w:val="single"/>
        </w:rPr>
        <w:t>.</w:t>
      </w:r>
      <w:bookmarkStart w:id="429" w:name="yui_3_16_0_1_1445939773516_5166"/>
      <w:bookmarkEnd w:id="429"/>
      <w:r>
        <w:t xml:space="preserve"> </w:t>
      </w:r>
      <w:bookmarkStart w:id="430" w:name="yui_3_16_0_1_1445939773516_5172"/>
      <w:bookmarkStart w:id="431" w:name="yui_3_16_0_1_1445939773516_5170"/>
      <w:bookmarkStart w:id="432" w:name="yui_3_16_0_1_1445939773516_5168"/>
      <w:bookmarkEnd w:id="430"/>
      <w:bookmarkEnd w:id="431"/>
      <w:bookmarkEnd w:id="432"/>
      <w:r>
        <w:t xml:space="preserve">Les </w:t>
      </w:r>
      <w:bookmarkStart w:id="433" w:name="yui_3_16_0_1_1445939773516_5178"/>
      <w:bookmarkStart w:id="434" w:name="yui_3_16_0_1_1445939773516_5176"/>
      <w:bookmarkStart w:id="435" w:name="yui_3_16_0_1_1445939773516_5174"/>
      <w:bookmarkEnd w:id="433"/>
      <w:bookmarkEnd w:id="434"/>
      <w:bookmarkEnd w:id="435"/>
      <w:r>
        <w:rPr>
          <w:i/>
        </w:rPr>
        <w:t xml:space="preserve">Compact </w:t>
      </w:r>
      <w:proofErr w:type="spellStart"/>
      <w:r>
        <w:rPr>
          <w:i/>
        </w:rPr>
        <w:t>agreements</w:t>
      </w:r>
      <w:bookmarkStart w:id="436" w:name="yui_3_16_0_1_1445939773516_5184"/>
      <w:bookmarkStart w:id="437" w:name="yui_3_16_0_1_1445939773516_5182"/>
      <w:bookmarkStart w:id="438" w:name="yui_3_16_0_1_1445939773516_5180"/>
      <w:bookmarkEnd w:id="436"/>
      <w:bookmarkEnd w:id="437"/>
      <w:bookmarkEnd w:id="438"/>
      <w:proofErr w:type="spellEnd"/>
      <w:r>
        <w:t xml:space="preserve"> signés par Springer ont une échéance à décembre 2018. </w:t>
      </w:r>
      <w:r>
        <w:t>Cela laisse trois ans pour tenter de rebattre les cartes à nouveau.</w:t>
      </w:r>
    </w:p>
    <w:p w:rsidR="0083184F" w:rsidRDefault="0083184F">
      <w:pPr>
        <w:pStyle w:val="Textbody"/>
        <w:spacing w:after="0"/>
      </w:pPr>
    </w:p>
    <w:p w:rsidR="0083184F" w:rsidRDefault="0083184F">
      <w:pPr>
        <w:pStyle w:val="Standard"/>
      </w:pPr>
    </w:p>
    <w:p w:rsidR="0083184F" w:rsidRDefault="00EF767C">
      <w:pPr>
        <w:pStyle w:val="Standard"/>
        <w:rPr>
          <w:b/>
          <w:bCs/>
          <w:sz w:val="20"/>
          <w:szCs w:val="20"/>
        </w:rPr>
      </w:pPr>
      <w:r>
        <w:rPr>
          <w:b/>
          <w:bCs/>
          <w:sz w:val="20"/>
          <w:szCs w:val="20"/>
        </w:rPr>
        <w:t xml:space="preserve">Analyse et rédaction des notes </w:t>
      </w:r>
      <w:r>
        <w:rPr>
          <w:b/>
          <w:bCs/>
          <w:i/>
          <w:iCs/>
          <w:sz w:val="20"/>
          <w:szCs w:val="20"/>
        </w:rPr>
        <w:t xml:space="preserve">Intelligence IST </w:t>
      </w:r>
      <w:r>
        <w:rPr>
          <w:b/>
          <w:bCs/>
          <w:sz w:val="20"/>
          <w:szCs w:val="20"/>
        </w:rPr>
        <w:t xml:space="preserve">sont assurées par Michel </w:t>
      </w:r>
      <w:proofErr w:type="spellStart"/>
      <w:r>
        <w:rPr>
          <w:b/>
          <w:bCs/>
          <w:sz w:val="20"/>
          <w:szCs w:val="20"/>
        </w:rPr>
        <w:t>Vajou</w:t>
      </w:r>
      <w:proofErr w:type="spellEnd"/>
      <w:r>
        <w:rPr>
          <w:b/>
          <w:bCs/>
          <w:sz w:val="20"/>
          <w:szCs w:val="20"/>
        </w:rPr>
        <w:t>,</w:t>
      </w:r>
      <w:r>
        <w:rPr>
          <w:b/>
          <w:bCs/>
          <w:i/>
          <w:iCs/>
          <w:sz w:val="20"/>
          <w:szCs w:val="20"/>
        </w:rPr>
        <w:t xml:space="preserve"> MV Etudes et Conseil, </w:t>
      </w:r>
      <w:hyperlink r:id="rId13" w:history="1">
        <w:r>
          <w:rPr>
            <w:b/>
            <w:bCs/>
            <w:sz w:val="20"/>
            <w:szCs w:val="20"/>
          </w:rPr>
          <w:t>mvajou@yahoo.fr</w:t>
        </w:r>
      </w:hyperlink>
    </w:p>
    <w:p w:rsidR="0083184F" w:rsidRDefault="00EF767C">
      <w:pPr>
        <w:pStyle w:val="Standard"/>
        <w:rPr>
          <w:b/>
          <w:bCs/>
          <w:sz w:val="20"/>
          <w:szCs w:val="20"/>
        </w:rPr>
      </w:pPr>
      <w:r>
        <w:rPr>
          <w:b/>
          <w:bCs/>
          <w:noProof/>
          <w:sz w:val="20"/>
          <w:szCs w:val="20"/>
          <w:lang w:eastAsia="fr-FR" w:bidi="ar-SA"/>
        </w:rPr>
        <w:drawing>
          <wp:anchor distT="0" distB="0" distL="114300" distR="114300" simplePos="0" relativeHeight="251658240" behindDoc="0" locked="0" layoutInCell="1" allowOverlap="1">
            <wp:simplePos x="0" y="0"/>
            <wp:positionH relativeFrom="column">
              <wp:posOffset>2679840</wp:posOffset>
            </wp:positionH>
            <wp:positionV relativeFrom="paragraph">
              <wp:posOffset>10080</wp:posOffset>
            </wp:positionV>
            <wp:extent cx="680760" cy="464760"/>
            <wp:effectExtent l="0" t="0" r="5040" b="0"/>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80760" cy="464760"/>
                    </a:xfrm>
                    <a:prstGeom prst="rect">
                      <a:avLst/>
                    </a:prstGeom>
                  </pic:spPr>
                </pic:pic>
              </a:graphicData>
            </a:graphic>
          </wp:anchor>
        </w:drawing>
      </w:r>
    </w:p>
    <w:p w:rsidR="0083184F" w:rsidRDefault="0083184F">
      <w:pPr>
        <w:pStyle w:val="Standard"/>
      </w:pPr>
    </w:p>
    <w:p w:rsidR="0083184F" w:rsidRDefault="0083184F">
      <w:pPr>
        <w:pStyle w:val="Textbody"/>
        <w:spacing w:after="0"/>
      </w:pPr>
      <w:bookmarkStart w:id="439" w:name="yui_3_16_0_1_1445939773516_51841"/>
      <w:bookmarkStart w:id="440" w:name="yui_3_16_0_1_1445939773516_51821"/>
      <w:bookmarkStart w:id="441" w:name="yui_3_16_0_1_1445939773516_51801"/>
      <w:bookmarkStart w:id="442" w:name="yui_3_16_0_1_1445939773516_6286"/>
      <w:bookmarkEnd w:id="439"/>
      <w:bookmarkEnd w:id="440"/>
      <w:bookmarkEnd w:id="441"/>
      <w:bookmarkEnd w:id="442"/>
    </w:p>
    <w:p w:rsidR="00000000" w:rsidRDefault="00EF767C">
      <w:pPr>
        <w:rPr>
          <w:szCs w:val="21"/>
        </w:rPr>
        <w:sectPr w:rsidR="00000000">
          <w:pgSz w:w="11906" w:h="16838"/>
          <w:pgMar w:top="1134" w:right="1134" w:bottom="1134" w:left="1134" w:header="720" w:footer="720" w:gutter="0"/>
          <w:cols w:space="720"/>
        </w:sectPr>
      </w:pPr>
    </w:p>
    <w:p w:rsidR="0083184F" w:rsidRDefault="00EF767C">
      <w:pPr>
        <w:pStyle w:val="Textbody"/>
        <w:spacing w:after="0"/>
        <w:rPr>
          <w:sz w:val="8"/>
          <w:szCs w:val="8"/>
        </w:rPr>
      </w:pPr>
      <w:hyperlink r:id="rId15" w:history="1"/>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spacing w:after="0"/>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EF767C">
      <w:pPr>
        <w:pStyle w:val="Textbody"/>
      </w:pPr>
      <w:hyperlink r:id="rId16" w:history="1"/>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spacing w:after="0"/>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bookmarkStart w:id="443" w:name="yui_3_16_0_1_1445939773516_5238"/>
      <w:bookmarkStart w:id="444" w:name="yui_3_16_0_1_1445939773516_5236"/>
      <w:bookmarkEnd w:id="443"/>
      <w:bookmarkEnd w:id="444"/>
    </w:p>
    <w:p w:rsidR="00000000" w:rsidRDefault="00EF767C">
      <w:pPr>
        <w:rPr>
          <w:szCs w:val="21"/>
        </w:rPr>
        <w:sectPr w:rsidR="00000000">
          <w:type w:val="continuous"/>
          <w:pgSz w:w="11906" w:h="16838"/>
          <w:pgMar w:top="1134" w:right="1134" w:bottom="1134" w:left="1134" w:header="720" w:footer="720" w:gutter="0"/>
          <w:cols w:space="0"/>
        </w:sectPr>
      </w:pPr>
    </w:p>
    <w:p w:rsidR="0083184F" w:rsidRPr="00EF767C" w:rsidRDefault="00EF767C">
      <w:pPr>
        <w:pStyle w:val="Textbody"/>
        <w:spacing w:after="0"/>
        <w:rPr>
          <w:sz w:val="8"/>
          <w:szCs w:val="8"/>
        </w:rPr>
      </w:pPr>
      <w:hyperlink r:id="rId17" w:history="1"/>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spacing w:after="0"/>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bookmarkStart w:id="445" w:name="yui_3_16_0_1_1445939773516_5271"/>
      <w:bookmarkStart w:id="446" w:name="yui_3_16_0_1_1445939773516_5269"/>
      <w:bookmarkEnd w:id="445"/>
      <w:bookmarkEnd w:id="446"/>
    </w:p>
    <w:p w:rsidR="00000000" w:rsidRDefault="00EF767C">
      <w:pPr>
        <w:rPr>
          <w:szCs w:val="21"/>
        </w:rPr>
        <w:sectPr w:rsidR="00000000">
          <w:type w:val="continuous"/>
          <w:pgSz w:w="11906" w:h="16838"/>
          <w:pgMar w:top="1134" w:right="1134" w:bottom="1134" w:left="1134" w:header="720" w:footer="720" w:gutter="0"/>
          <w:cols w:space="0"/>
        </w:sectPr>
      </w:pPr>
    </w:p>
    <w:bookmarkStart w:id="447" w:name="yui_3_16_0_1_1445939773516_5310"/>
    <w:bookmarkStart w:id="448" w:name="yui_3_16_0_1_1445939773516_5308"/>
    <w:bookmarkEnd w:id="447"/>
    <w:bookmarkEnd w:id="448"/>
    <w:p w:rsidR="0083184F" w:rsidRDefault="00EF767C">
      <w:pPr>
        <w:pStyle w:val="Textbody"/>
      </w:pPr>
      <w:r>
        <w:fldChar w:fldCharType="begin"/>
      </w:r>
      <w:r>
        <w:instrText xml:space="preserve"> HYPERLINK  "http://www.openaccesspublishing.org/apc2/" </w:instrText>
      </w:r>
      <w:r>
        <w:fldChar w:fldCharType="separate"/>
      </w:r>
      <w:r>
        <w:fldChar w:fldCharType="end"/>
      </w: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8"/>
          <w:szCs w:val="8"/>
        </w:rPr>
      </w:pPr>
      <w:bookmarkStart w:id="449" w:name="yui_3_16_0_1_1445939773516_5325"/>
      <w:bookmarkStart w:id="450" w:name="yui_3_16_0_1_1445939773516_5323"/>
      <w:bookmarkEnd w:id="449"/>
      <w:bookmarkEnd w:id="450"/>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bookmarkStart w:id="451" w:name="yui_3_16_0_1_1445939773516_5338"/>
      <w:bookmarkStart w:id="452" w:name="yui_3_16_0_1_1445939773516_5336"/>
      <w:bookmarkEnd w:id="451"/>
      <w:bookmarkEnd w:id="452"/>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8"/>
          <w:szCs w:val="8"/>
        </w:rPr>
      </w:pPr>
      <w:bookmarkStart w:id="453" w:name="yui_3_16_0_1_1445939773516_5374"/>
      <w:bookmarkStart w:id="454" w:name="yui_3_16_0_1_1445939773516_5372"/>
      <w:bookmarkEnd w:id="453"/>
      <w:bookmarkEnd w:id="454"/>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bookmarkStart w:id="455" w:name="yui_3_16_0_1_1445939773516_5391"/>
      <w:bookmarkStart w:id="456" w:name="yui_3_16_0_1_1445939773516_5389"/>
      <w:bookmarkEnd w:id="455"/>
      <w:bookmarkEnd w:id="456"/>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EF767C">
      <w:pPr>
        <w:pStyle w:val="Textbody"/>
        <w:rPr>
          <w:sz w:val="8"/>
          <w:szCs w:val="8"/>
        </w:rPr>
      </w:pPr>
      <w:hyperlink r:id="rId18" w:history="1"/>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Textbody"/>
        <w:rPr>
          <w:sz w:val="16"/>
          <w:szCs w:val="16"/>
        </w:rPr>
      </w:pPr>
      <w:bookmarkStart w:id="457" w:name="yui_3_16_0_1_1445939773516_5405"/>
      <w:bookmarkStart w:id="458" w:name="yui_3_16_0_1_1445939773516_5403"/>
      <w:bookmarkEnd w:id="457"/>
      <w:bookmarkEnd w:id="458"/>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EF767C">
      <w:pPr>
        <w:pStyle w:val="Textbody"/>
      </w:pPr>
      <w:hyperlink r:id="rId19" w:history="1">
        <w:r>
          <w:rPr>
            <w:sz w:val="20"/>
            <w:szCs w:val="20"/>
          </w:rPr>
          <w:t>20</w:t>
        </w:r>
      </w:hyperlink>
      <w:r>
        <w:t xml:space="preserve"> -</w:t>
      </w: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Standard"/>
      </w:pPr>
    </w:p>
    <w:p w:rsidR="00000000" w:rsidRDefault="00EF767C">
      <w:pPr>
        <w:rPr>
          <w:szCs w:val="21"/>
        </w:rPr>
        <w:sectPr w:rsidR="00000000">
          <w:type w:val="continuous"/>
          <w:pgSz w:w="11906" w:h="16838"/>
          <w:pgMar w:top="1134" w:right="1134" w:bottom="1134" w:left="1134" w:header="720" w:footer="720" w:gutter="0"/>
          <w:cols w:space="0"/>
        </w:sectPr>
      </w:pPr>
    </w:p>
    <w:p w:rsidR="0083184F" w:rsidRDefault="0083184F">
      <w:pPr>
        <w:pStyle w:val="Standard"/>
      </w:pPr>
    </w:p>
    <w:sectPr w:rsidR="0083184F">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67C">
      <w:r>
        <w:separator/>
      </w:r>
    </w:p>
  </w:endnote>
  <w:endnote w:type="continuationSeparator" w:id="0">
    <w:p w:rsidR="00000000" w:rsidRDefault="00EF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variable"/>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ans-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67C">
      <w:r>
        <w:rPr>
          <w:color w:val="000000"/>
        </w:rPr>
        <w:separator/>
      </w:r>
    </w:p>
  </w:footnote>
  <w:footnote w:type="continuationSeparator" w:id="0">
    <w:p w:rsidR="00000000" w:rsidRDefault="00EF767C">
      <w:r>
        <w:continuationSeparator/>
      </w:r>
    </w:p>
  </w:footnote>
  <w:footnote w:id="1">
    <w:p w:rsidR="0083184F" w:rsidRDefault="00EF767C">
      <w:pPr>
        <w:pStyle w:val="Textbody"/>
        <w:spacing w:after="0"/>
      </w:pPr>
      <w:r>
        <w:rPr>
          <w:rStyle w:val="Appelnotedebasdep"/>
        </w:rPr>
        <w:footnoteRef/>
      </w:r>
      <w:r>
        <w:rPr>
          <w:sz w:val="16"/>
          <w:szCs w:val="16"/>
        </w:rPr>
        <w:t xml:space="preserve">  Publication en OA natif dans une revue q</w:t>
      </w:r>
      <w:r>
        <w:rPr>
          <w:sz w:val="16"/>
          <w:szCs w:val="16"/>
        </w:rPr>
        <w:t>ui par ailleurs reste accessible uniquement sur abonnement.</w:t>
      </w:r>
    </w:p>
  </w:footnote>
  <w:footnote w:id="2">
    <w:p w:rsidR="0083184F" w:rsidRDefault="00EF767C">
      <w:pPr>
        <w:pStyle w:val="Textbody"/>
        <w:spacing w:after="0"/>
      </w:pPr>
      <w:r>
        <w:rPr>
          <w:rStyle w:val="Appelnotedebasdep"/>
        </w:rPr>
        <w:footnoteRef/>
      </w:r>
      <w:r>
        <w:rPr>
          <w:sz w:val="16"/>
          <w:szCs w:val="16"/>
        </w:rPr>
        <w:t xml:space="preserve">  Le 17 septembre dernier c'est avec l'</w:t>
      </w:r>
      <w:bookmarkStart w:id="25" w:name="yui_3_16_0_1_1445939773516_52001"/>
      <w:bookmarkEnd w:id="25"/>
      <w:proofErr w:type="spellStart"/>
      <w:r>
        <w:rPr>
          <w:i/>
          <w:sz w:val="16"/>
          <w:szCs w:val="16"/>
        </w:rPr>
        <w:t>Austrian</w:t>
      </w:r>
      <w:proofErr w:type="spellEnd"/>
      <w:r>
        <w:rPr>
          <w:i/>
          <w:sz w:val="16"/>
          <w:szCs w:val="16"/>
        </w:rPr>
        <w:t xml:space="preserve"> </w:t>
      </w:r>
      <w:proofErr w:type="spellStart"/>
      <w:r>
        <w:rPr>
          <w:i/>
          <w:sz w:val="16"/>
          <w:szCs w:val="16"/>
        </w:rPr>
        <w:t>Academic</w:t>
      </w:r>
      <w:proofErr w:type="spellEnd"/>
      <w:r>
        <w:rPr>
          <w:i/>
          <w:sz w:val="16"/>
          <w:szCs w:val="16"/>
        </w:rPr>
        <w:t xml:space="preserve"> </w:t>
      </w:r>
      <w:proofErr w:type="spellStart"/>
      <w:r>
        <w:rPr>
          <w:i/>
          <w:sz w:val="16"/>
          <w:szCs w:val="16"/>
        </w:rPr>
        <w:t>Libraries</w:t>
      </w:r>
      <w:proofErr w:type="spellEnd"/>
      <w:r>
        <w:rPr>
          <w:i/>
          <w:sz w:val="16"/>
          <w:szCs w:val="16"/>
        </w:rPr>
        <w:t xml:space="preserve"> Consortium</w:t>
      </w:r>
      <w:r>
        <w:rPr>
          <w:sz w:val="16"/>
          <w:szCs w:val="16"/>
        </w:rPr>
        <w:t>, l'équivalent autrichien de du consortium Couperin que Springer avec conclu un « Compact Agreement ». En novembre 2014, Springer avait conclu un accor</w:t>
      </w:r>
      <w:r>
        <w:rPr>
          <w:sz w:val="16"/>
          <w:szCs w:val="16"/>
        </w:rPr>
        <w:t>d du même type avec l'</w:t>
      </w:r>
      <w:bookmarkStart w:id="26" w:name="yui_3_16_0_1_1445939773516_52021"/>
      <w:bookmarkEnd w:id="26"/>
      <w:r>
        <w:rPr>
          <w:i/>
          <w:sz w:val="16"/>
          <w:szCs w:val="16"/>
        </w:rPr>
        <w:t xml:space="preserve">Association of </w:t>
      </w:r>
      <w:proofErr w:type="spellStart"/>
      <w:r>
        <w:rPr>
          <w:i/>
          <w:sz w:val="16"/>
          <w:szCs w:val="16"/>
        </w:rPr>
        <w:t>Dutch</w:t>
      </w:r>
      <w:proofErr w:type="spellEnd"/>
      <w:r>
        <w:rPr>
          <w:i/>
          <w:sz w:val="16"/>
          <w:szCs w:val="16"/>
        </w:rPr>
        <w:t xml:space="preserve"> </w:t>
      </w:r>
      <w:proofErr w:type="spellStart"/>
      <w:r>
        <w:rPr>
          <w:i/>
          <w:sz w:val="16"/>
          <w:szCs w:val="16"/>
        </w:rPr>
        <w:t>Universities</w:t>
      </w:r>
      <w:proofErr w:type="spellEnd"/>
      <w:r>
        <w:rPr>
          <w:i/>
          <w:sz w:val="16"/>
          <w:szCs w:val="16"/>
        </w:rPr>
        <w:t xml:space="preserve">, </w:t>
      </w:r>
      <w:bookmarkStart w:id="27" w:name="yui_3_16_0_1_1445939773516_52041"/>
      <w:bookmarkEnd w:id="27"/>
      <w:r>
        <w:rPr>
          <w:sz w:val="16"/>
          <w:szCs w:val="16"/>
        </w:rPr>
        <w:t>l'association des universités néerlandaises.</w:t>
      </w:r>
    </w:p>
  </w:footnote>
  <w:footnote w:id="3">
    <w:p w:rsidR="0083184F" w:rsidRDefault="00EF767C">
      <w:pPr>
        <w:pStyle w:val="Footnote"/>
        <w:rPr>
          <w:sz w:val="16"/>
          <w:szCs w:val="16"/>
        </w:rPr>
      </w:pPr>
      <w:r>
        <w:rPr>
          <w:rStyle w:val="Appelnotedebasdep"/>
        </w:rPr>
        <w:footnoteRef/>
      </w:r>
      <w:r>
        <w:rPr>
          <w:sz w:val="16"/>
          <w:szCs w:val="16"/>
        </w:rPr>
        <w:t>La position du JISC est « contrainte » : la politique publique britannique</w:t>
      </w:r>
      <w:r>
        <w:rPr>
          <w:sz w:val="16"/>
          <w:szCs w:val="16"/>
        </w:rPr>
        <w:t xml:space="preserve"> impose une publication en Gold OA. Pour le JISC contenir les volumes des budgets d'APC est vital.</w:t>
      </w:r>
    </w:p>
  </w:footnote>
  <w:footnote w:id="4">
    <w:p w:rsidR="0083184F" w:rsidRDefault="00EF767C">
      <w:pPr>
        <w:pStyle w:val="Textbody"/>
      </w:pPr>
      <w:r>
        <w:rPr>
          <w:rStyle w:val="Appelnotedebasdep"/>
        </w:rPr>
        <w:footnoteRef/>
      </w:r>
      <w:r>
        <w:rPr>
          <w:sz w:val="16"/>
          <w:szCs w:val="16"/>
        </w:rPr>
        <w:t xml:space="preserve"> http://www.mpg.de/9709881</w:t>
      </w:r>
      <w:r>
        <w:rPr>
          <w:sz w:val="16"/>
          <w:szCs w:val="16"/>
        </w:rPr>
        <w:t>/oa-max-planck-society-springer.</w:t>
      </w:r>
    </w:p>
  </w:footnote>
  <w:footnote w:id="5">
    <w:p w:rsidR="0083184F" w:rsidRDefault="00EF767C">
      <w:pPr>
        <w:pStyle w:val="Textbody"/>
      </w:pPr>
      <w:r>
        <w:rPr>
          <w:rStyle w:val="Appelnotedebasdep"/>
        </w:rPr>
        <w:footnoteRef/>
      </w:r>
      <w:r>
        <w:rPr>
          <w:sz w:val="16"/>
          <w:szCs w:val="16"/>
        </w:rPr>
        <w:t xml:space="preserve"> Chiffres cités dans l'étude « Financer la publicati</w:t>
      </w:r>
      <w:r>
        <w:rPr>
          <w:sz w:val="16"/>
          <w:szCs w:val="16"/>
        </w:rPr>
        <w:t xml:space="preserve">on scientifique », DIST/CNRS, </w:t>
      </w:r>
      <w:hyperlink r:id="rId1" w:history="1">
        <w:r>
          <w:rPr>
            <w:sz w:val="16"/>
            <w:szCs w:val="16"/>
          </w:rPr>
          <w:t>www.cnrs.fr/dist/z-outils/documents/Distinfo2/DISTetude3.pdf</w:t>
        </w:r>
      </w:hyperlink>
    </w:p>
  </w:footnote>
  <w:footnote w:id="6">
    <w:p w:rsidR="0083184F" w:rsidRDefault="00EF767C">
      <w:pPr>
        <w:pStyle w:val="Footnote"/>
        <w:ind w:left="0" w:firstLine="0"/>
      </w:pPr>
      <w:r>
        <w:rPr>
          <w:rStyle w:val="Appelnotedebasdep"/>
        </w:rPr>
        <w:footnoteRef/>
      </w:r>
      <w:r>
        <w:t xml:space="preserve"> </w:t>
      </w:r>
      <w:r>
        <w:rPr>
          <w:sz w:val="16"/>
          <w:szCs w:val="16"/>
        </w:rPr>
        <w:t>Le CNRS</w:t>
      </w:r>
      <w:r>
        <w:rPr>
          <w:sz w:val="16"/>
          <w:szCs w:val="16"/>
        </w:rPr>
        <w:t xml:space="preserve"> publie par ailleurs 17 000 articles/an en sciences humaines et sociales.</w:t>
      </w:r>
    </w:p>
  </w:footnote>
  <w:footnote w:id="7">
    <w:p w:rsidR="0083184F" w:rsidRDefault="00EF767C">
      <w:pPr>
        <w:pStyle w:val="Standard"/>
        <w:autoSpaceDE w:val="0"/>
      </w:pPr>
      <w:r>
        <w:rPr>
          <w:rStyle w:val="Appelnotedebasdep"/>
        </w:rPr>
        <w:footnoteRef/>
      </w:r>
      <w:r>
        <w:rPr>
          <w:sz w:val="20"/>
          <w:szCs w:val="20"/>
        </w:rPr>
        <w:t xml:space="preserve"> </w:t>
      </w:r>
      <w:r>
        <w:rPr>
          <w:sz w:val="16"/>
          <w:szCs w:val="16"/>
        </w:rPr>
        <w:t>Il semble que Springer défalque en partie les recettes APC sur les prix d'abonnement m</w:t>
      </w:r>
      <w:r>
        <w:rPr>
          <w:rFonts w:eastAsia="Times New Roman" w:cs="Times New Roman"/>
          <w:sz w:val="16"/>
          <w:szCs w:val="16"/>
        </w:rPr>
        <w:t xml:space="preserve">ais cette diminution est </w:t>
      </w:r>
      <w:r>
        <w:rPr>
          <w:sz w:val="16"/>
          <w:szCs w:val="16"/>
        </w:rPr>
        <w:t>quasi invisible pour l’abonné car l'apport des APC est réparti sur l’ensemble des abonnés à la revue en question.</w:t>
      </w:r>
    </w:p>
    <w:p w:rsidR="0083184F" w:rsidRDefault="0083184F">
      <w:pPr>
        <w:pStyle w:val="Footnote"/>
        <w:rPr>
          <w:sz w:val="16"/>
          <w:szCs w:val="16"/>
        </w:rPr>
      </w:pPr>
    </w:p>
  </w:footnote>
  <w:footnote w:id="8">
    <w:p w:rsidR="0083184F" w:rsidRDefault="00EF767C">
      <w:pPr>
        <w:pStyle w:val="Textbody"/>
      </w:pPr>
      <w:r>
        <w:rPr>
          <w:rStyle w:val="Appelnotedebasdep"/>
        </w:rPr>
        <w:footnoteRef/>
      </w:r>
      <w:r>
        <w:rPr>
          <w:sz w:val="16"/>
          <w:szCs w:val="16"/>
        </w:rPr>
        <w:t xml:space="preserve"> Une facette de cette réduction des coûts de transactions est celle de la réduction des coûts de la « </w:t>
      </w:r>
      <w:proofErr w:type="spellStart"/>
      <w:r>
        <w:rPr>
          <w:sz w:val="16"/>
          <w:szCs w:val="16"/>
        </w:rPr>
        <w:t>compliance</w:t>
      </w:r>
      <w:proofErr w:type="spellEnd"/>
      <w:r>
        <w:rPr>
          <w:sz w:val="16"/>
          <w:szCs w:val="16"/>
        </w:rPr>
        <w:t> » (mise en conformité) avec les politiques OA, là où elles existent, imp</w:t>
      </w:r>
      <w:r>
        <w:rPr>
          <w:sz w:val="16"/>
          <w:szCs w:val="16"/>
        </w:rPr>
        <w:t xml:space="preserve">osées par les agences de financement de la recherche. Cet avantage est particulièrement sensible outre-Manche où le RCUK, l'organisme fédérant les 7 agences britanniques de financement de la recherche, impose le «Gold open </w:t>
      </w:r>
      <w:proofErr w:type="spellStart"/>
      <w:r>
        <w:rPr>
          <w:sz w:val="16"/>
          <w:szCs w:val="16"/>
        </w:rPr>
        <w:t>access</w:t>
      </w:r>
      <w:proofErr w:type="spellEnd"/>
      <w:r>
        <w:rPr>
          <w:sz w:val="16"/>
          <w:szCs w:val="16"/>
        </w:rPr>
        <w:t> » aux institutions de rech</w:t>
      </w:r>
      <w:r>
        <w:rPr>
          <w:sz w:val="16"/>
          <w:szCs w:val="16"/>
        </w:rPr>
        <w:t xml:space="preserve">erche financées sur fonds public. Prouver a posteriori auprès de ces financeurs la conformité des logiques de publication à ces obligations s'est révélé avoir un coût </w:t>
      </w:r>
      <w:proofErr w:type="spellStart"/>
      <w:r>
        <w:rPr>
          <w:sz w:val="16"/>
          <w:szCs w:val="16"/>
        </w:rPr>
        <w:t>exhorbitant</w:t>
      </w:r>
      <w:proofErr w:type="spellEnd"/>
      <w:r>
        <w:rPr>
          <w:sz w:val="16"/>
          <w:szCs w:val="16"/>
        </w:rPr>
        <w:t> : une étude a montré que satisfaire aux obligations imposées par RCUK avait e</w:t>
      </w:r>
      <w:r>
        <w:rPr>
          <w:sz w:val="16"/>
          <w:szCs w:val="16"/>
        </w:rPr>
        <w:t xml:space="preserve">u pour les universités </w:t>
      </w:r>
      <w:proofErr w:type="spellStart"/>
      <w:r>
        <w:rPr>
          <w:sz w:val="16"/>
          <w:szCs w:val="16"/>
        </w:rPr>
        <w:t>bitanniques</w:t>
      </w:r>
      <w:proofErr w:type="spellEnd"/>
      <w:r>
        <w:rPr>
          <w:sz w:val="16"/>
          <w:szCs w:val="16"/>
        </w:rPr>
        <w:t xml:space="preserve"> un coût annuel de gestion de 9 M£ (12,5 M€) à comparer au coût des APC proprement dits (11 M£ ;15,3 M€).</w:t>
      </w:r>
    </w:p>
    <w:p w:rsidR="0083184F" w:rsidRDefault="0083184F">
      <w:pPr>
        <w:pStyle w:val="Textbody"/>
        <w:rPr>
          <w:sz w:val="16"/>
          <w:szCs w:val="16"/>
        </w:rPr>
      </w:pPr>
    </w:p>
  </w:footnote>
  <w:footnote w:id="9">
    <w:p w:rsidR="0083184F" w:rsidRDefault="00EF767C">
      <w:pPr>
        <w:pStyle w:val="Textbody"/>
        <w:rPr>
          <w:sz w:val="16"/>
          <w:szCs w:val="16"/>
        </w:rPr>
      </w:pPr>
      <w:r>
        <w:rPr>
          <w:rStyle w:val="Appelnotedebasdep"/>
        </w:rPr>
        <w:footnoteRef/>
      </w:r>
      <w:r>
        <w:rPr>
          <w:sz w:val="16"/>
          <w:szCs w:val="16"/>
        </w:rPr>
        <w:t xml:space="preserve">  Cette question des coûts de transactions est aussi importante et mal étudiée s'agissant de la « voie verte » du libre accès.</w:t>
      </w:r>
    </w:p>
  </w:footnote>
  <w:footnote w:id="10">
    <w:p w:rsidR="0083184F" w:rsidRPr="00EF767C" w:rsidRDefault="00EF767C">
      <w:pPr>
        <w:pStyle w:val="Textbody"/>
        <w:spacing w:after="0"/>
        <w:rPr>
          <w:lang w:val="en-US"/>
        </w:rPr>
      </w:pPr>
      <w:r>
        <w:rPr>
          <w:rStyle w:val="Appelnotedebasdep"/>
        </w:rPr>
        <w:footnoteRef/>
      </w:r>
      <w:r>
        <w:rPr>
          <w:sz w:val="16"/>
          <w:szCs w:val="16"/>
          <w:lang w:val="en-US"/>
        </w:rPr>
        <w:t xml:space="preserve"> « </w:t>
      </w:r>
      <w:bookmarkStart w:id="180" w:name="yui_3_16_0_1_1445939773516_52511"/>
      <w:bookmarkStart w:id="181" w:name="yui_3_16_0_1_1445939773516_52491"/>
      <w:bookmarkStart w:id="182" w:name="yui_3_16_0_1_1445939773516_52471"/>
      <w:bookmarkEnd w:id="180"/>
      <w:bookmarkEnd w:id="181"/>
      <w:bookmarkEnd w:id="182"/>
      <w:r>
        <w:rPr>
          <w:i/>
          <w:sz w:val="16"/>
          <w:szCs w:val="16"/>
          <w:lang w:val="en-US"/>
        </w:rPr>
        <w:t xml:space="preserve">Disrupting the subscription </w:t>
      </w:r>
      <w:r>
        <w:rPr>
          <w:i/>
          <w:sz w:val="16"/>
          <w:szCs w:val="16"/>
          <w:lang w:val="en-US"/>
        </w:rPr>
        <w:t xml:space="preserve">journals’ business model for the necessary large-scale transformation to open access », </w:t>
      </w:r>
      <w:hyperlink r:id="rId2" w:history="1">
        <w:r>
          <w:rPr>
            <w:sz w:val="16"/>
            <w:szCs w:val="16"/>
            <w:lang w:val="en-US"/>
          </w:rPr>
          <w:t>http://pubman.mpdl.mpg.de/pubman/i</w:t>
        </w:r>
        <w:r>
          <w:rPr>
            <w:sz w:val="16"/>
            <w:szCs w:val="16"/>
            <w:lang w:val="en-US"/>
          </w:rPr>
          <w:t>tem/escidoc:2148961:7/component/escidoc:2149096/MPDL_OA-Transition_White_Paper.pdf</w:t>
        </w:r>
      </w:hyperlink>
    </w:p>
  </w:footnote>
  <w:footnote w:id="11">
    <w:p w:rsidR="0083184F" w:rsidRDefault="00EF767C">
      <w:pPr>
        <w:pStyle w:val="Textbody"/>
        <w:spacing w:after="0"/>
        <w:rPr>
          <w:sz w:val="16"/>
          <w:szCs w:val="16"/>
        </w:rPr>
      </w:pPr>
      <w:r>
        <w:rPr>
          <w:rStyle w:val="Appelnotedebasdep"/>
        </w:rPr>
        <w:footnoteRef/>
      </w:r>
      <w:r>
        <w:rPr>
          <w:sz w:val="16"/>
          <w:szCs w:val="16"/>
        </w:rPr>
        <w:t xml:space="preserve"> Comme le sont souvent les approches macroéconomiques qui relèvent du « </w:t>
      </w:r>
      <w:proofErr w:type="spellStart"/>
      <w:r>
        <w:rPr>
          <w:sz w:val="16"/>
          <w:szCs w:val="16"/>
        </w:rPr>
        <w:t>wishful</w:t>
      </w:r>
      <w:proofErr w:type="spellEnd"/>
      <w:r>
        <w:rPr>
          <w:sz w:val="16"/>
          <w:szCs w:val="16"/>
        </w:rPr>
        <w:t xml:space="preserve"> </w:t>
      </w:r>
      <w:proofErr w:type="spellStart"/>
      <w:r>
        <w:rPr>
          <w:sz w:val="16"/>
          <w:szCs w:val="16"/>
        </w:rPr>
        <w:t>thinking</w:t>
      </w:r>
      <w:proofErr w:type="spellEnd"/>
      <w:r>
        <w:rPr>
          <w:sz w:val="16"/>
          <w:szCs w:val="16"/>
        </w:rPr>
        <w:t> ».</w:t>
      </w:r>
    </w:p>
  </w:footnote>
  <w:footnote w:id="12">
    <w:p w:rsidR="0083184F" w:rsidRDefault="00EF767C">
      <w:pPr>
        <w:pStyle w:val="Textbody"/>
        <w:rPr>
          <w:sz w:val="16"/>
          <w:szCs w:val="16"/>
        </w:rPr>
      </w:pPr>
      <w:r>
        <w:rPr>
          <w:rStyle w:val="Appelnotedebasdep"/>
        </w:rPr>
        <w:footnoteRef/>
      </w:r>
      <w:r>
        <w:rPr>
          <w:sz w:val="16"/>
          <w:szCs w:val="16"/>
        </w:rPr>
        <w:t xml:space="preserve"> En bonne logique de négociation dans le cadre de centrales d'achat (ce que sont les consortiums d'achat de</w:t>
      </w:r>
      <w:r>
        <w:rPr>
          <w:sz w:val="16"/>
          <w:szCs w:val="16"/>
        </w:rPr>
        <w:t xml:space="preserve"> ressources documentaires) il est toujours de bonne pratique de dissocier les négociations s'agissant des achats de prestations de nature différente (ce que sont APC et abonnements) : les logiques de bundle sont en général plus favorables aux offreurs qu'à</w:t>
      </w:r>
      <w:r>
        <w:rPr>
          <w:sz w:val="16"/>
          <w:szCs w:val="16"/>
        </w:rPr>
        <w:t xml:space="preserve"> leurs clients. Le JISC et la Max Planck </w:t>
      </w:r>
      <w:proofErr w:type="spellStart"/>
      <w:r>
        <w:rPr>
          <w:sz w:val="16"/>
          <w:szCs w:val="16"/>
        </w:rPr>
        <w:t>Gesellschaft</w:t>
      </w:r>
      <w:proofErr w:type="spellEnd"/>
      <w:r>
        <w:rPr>
          <w:sz w:val="16"/>
          <w:szCs w:val="16"/>
        </w:rPr>
        <w:t xml:space="preserve"> viennent de tourner le dos à ce sain principe de négociation.</w:t>
      </w:r>
    </w:p>
  </w:footnote>
  <w:footnote w:id="13">
    <w:p w:rsidR="0083184F" w:rsidRPr="00EF767C" w:rsidRDefault="00EF767C">
      <w:pPr>
        <w:pStyle w:val="Standard"/>
        <w:rPr>
          <w:lang w:val="en-US"/>
        </w:rPr>
      </w:pPr>
      <w:r>
        <w:rPr>
          <w:rStyle w:val="Appelnotedebasdep"/>
        </w:rPr>
        <w:footnoteRef/>
      </w:r>
      <w:r>
        <w:rPr>
          <w:sz w:val="16"/>
          <w:szCs w:val="16"/>
          <w:lang w:val="en-US"/>
        </w:rPr>
        <w:t xml:space="preserve"> </w:t>
      </w:r>
      <w:proofErr w:type="spellStart"/>
      <w:r>
        <w:rPr>
          <w:sz w:val="16"/>
          <w:szCs w:val="16"/>
          <w:lang w:val="en-US"/>
        </w:rPr>
        <w:t>Voir</w:t>
      </w:r>
      <w:proofErr w:type="spellEnd"/>
      <w:r>
        <w:rPr>
          <w:sz w:val="16"/>
          <w:szCs w:val="16"/>
          <w:lang w:val="en-US"/>
        </w:rPr>
        <w:t xml:space="preserve"> les </w:t>
      </w:r>
      <w:proofErr w:type="spellStart"/>
      <w:r>
        <w:rPr>
          <w:sz w:val="16"/>
          <w:szCs w:val="16"/>
          <w:lang w:val="en-US"/>
        </w:rPr>
        <w:t>travaux</w:t>
      </w:r>
      <w:proofErr w:type="spellEnd"/>
      <w:r>
        <w:rPr>
          <w:sz w:val="16"/>
          <w:szCs w:val="16"/>
          <w:lang w:val="en-US"/>
        </w:rPr>
        <w:t xml:space="preserve"> de Bo-</w:t>
      </w:r>
      <w:proofErr w:type="spellStart"/>
      <w:r>
        <w:rPr>
          <w:sz w:val="16"/>
          <w:szCs w:val="16"/>
          <w:lang w:val="en-US"/>
        </w:rPr>
        <w:t>Christer</w:t>
      </w:r>
      <w:proofErr w:type="spellEnd"/>
      <w:r>
        <w:rPr>
          <w:sz w:val="16"/>
          <w:szCs w:val="16"/>
          <w:lang w:val="en-US"/>
        </w:rPr>
        <w:t xml:space="preserve"> </w:t>
      </w:r>
      <w:proofErr w:type="spellStart"/>
      <w:r>
        <w:rPr>
          <w:sz w:val="16"/>
          <w:szCs w:val="16"/>
          <w:lang w:val="en-US"/>
        </w:rPr>
        <w:t>Björk</w:t>
      </w:r>
      <w:proofErr w:type="spellEnd"/>
      <w:r>
        <w:rPr>
          <w:sz w:val="16"/>
          <w:szCs w:val="16"/>
          <w:lang w:val="en-US"/>
        </w:rPr>
        <w:t xml:space="preserve"> et David Salomon </w:t>
      </w:r>
      <w:bookmarkStart w:id="228" w:name="yui_3_16_0_1_1445939773516_52801"/>
      <w:bookmarkStart w:id="229" w:name="yui_3_16_0_1_1445939773516_52781"/>
      <w:bookmarkEnd w:id="228"/>
      <w:bookmarkEnd w:id="229"/>
      <w:r>
        <w:rPr>
          <w:sz w:val="16"/>
          <w:szCs w:val="16"/>
          <w:lang w:val="en-US"/>
        </w:rPr>
        <w:t xml:space="preserve">: </w:t>
      </w:r>
      <w:bookmarkStart w:id="230" w:name="yui_3_16_0_1_1445939773516_52861"/>
      <w:bookmarkStart w:id="231" w:name="yui_3_16_0_1_1445939773516_52841"/>
      <w:bookmarkStart w:id="232" w:name="yui_3_16_0_1_1445939773516_52821"/>
      <w:bookmarkEnd w:id="230"/>
      <w:bookmarkEnd w:id="231"/>
      <w:bookmarkEnd w:id="232"/>
      <w:r>
        <w:rPr>
          <w:i/>
          <w:sz w:val="16"/>
          <w:szCs w:val="16"/>
          <w:lang w:val="en-US"/>
        </w:rPr>
        <w:t>Article processing charges in OA journals – relationship betwe</w:t>
      </w:r>
      <w:r>
        <w:rPr>
          <w:i/>
          <w:sz w:val="16"/>
          <w:szCs w:val="16"/>
          <w:lang w:val="en-US"/>
        </w:rPr>
        <w:t xml:space="preserve">en price and quality, </w:t>
      </w:r>
      <w:bookmarkStart w:id="233" w:name="yui_3_16_0_1_1445939773516_52901"/>
      <w:bookmarkStart w:id="234" w:name="yui_3_16_0_1_1445939773516_52881"/>
      <w:bookmarkEnd w:id="233"/>
      <w:bookmarkEnd w:id="234"/>
      <w:r>
        <w:rPr>
          <w:sz w:val="16"/>
          <w:szCs w:val="16"/>
          <w:lang w:val="en-US"/>
        </w:rPr>
        <w:t xml:space="preserve">Published in </w:t>
      </w:r>
      <w:proofErr w:type="spellStart"/>
      <w:r>
        <w:rPr>
          <w:sz w:val="16"/>
          <w:szCs w:val="16"/>
          <w:lang w:val="en-US"/>
        </w:rPr>
        <w:t>Scientometrics</w:t>
      </w:r>
      <w:proofErr w:type="spellEnd"/>
      <w:r>
        <w:rPr>
          <w:sz w:val="16"/>
          <w:szCs w:val="16"/>
          <w:lang w:val="en-US"/>
        </w:rPr>
        <w:t xml:space="preserve">, March 2015, </w:t>
      </w:r>
      <w:hyperlink r:id="rId3" w:history="1">
        <w:r w:rsidRPr="00EF767C">
          <w:rPr>
            <w:sz w:val="16"/>
            <w:szCs w:val="16"/>
            <w:lang w:val="en-US"/>
          </w:rPr>
          <w:t>www.openaccesspublishing.org/oa12/DOI%2010.1007s11192-015-1556-z.pdf</w:t>
        </w:r>
      </w:hyperlink>
      <w:r>
        <w:rPr>
          <w:sz w:val="16"/>
          <w:szCs w:val="16"/>
          <w:lang w:val="en-US"/>
        </w:rPr>
        <w:t xml:space="preserve"> et </w:t>
      </w:r>
      <w:bookmarkStart w:id="235" w:name="yui_3_16_0_1_1445939773516_53021"/>
      <w:bookmarkStart w:id="236" w:name="yui_3_16_0_1_1445939773516_53001"/>
      <w:bookmarkStart w:id="237" w:name="yui_3_16_0_1_1445939773516_52981"/>
      <w:bookmarkStart w:id="238" w:name="yui_3_16_0_1_1445939773516_52961"/>
      <w:bookmarkStart w:id="239" w:name="yui_3_16_0_1_1445939773516_52941"/>
      <w:bookmarkEnd w:id="235"/>
      <w:bookmarkEnd w:id="236"/>
      <w:bookmarkEnd w:id="237"/>
      <w:bookmarkEnd w:id="238"/>
      <w:bookmarkEnd w:id="239"/>
      <w:r>
        <w:rPr>
          <w:rStyle w:val="StrongEmphasis"/>
          <w:b w:val="0"/>
          <w:i/>
          <w:sz w:val="16"/>
          <w:szCs w:val="16"/>
          <w:lang w:val="en-US"/>
        </w:rPr>
        <w:t>A Study of Open Access Journals</w:t>
      </w:r>
      <w:r>
        <w:rPr>
          <w:rStyle w:val="StrongEmphasis"/>
          <w:b w:val="0"/>
          <w:i/>
          <w:sz w:val="16"/>
          <w:szCs w:val="16"/>
          <w:lang w:val="en-US"/>
        </w:rPr>
        <w:t xml:space="preserve"> Using Article Processing Charges, </w:t>
      </w:r>
      <w:hyperlink r:id="rId4" w:history="1">
        <w:r w:rsidRPr="00EF767C">
          <w:rPr>
            <w:rStyle w:val="StrongEmphasis"/>
            <w:sz w:val="16"/>
            <w:szCs w:val="16"/>
            <w:lang w:val="en-US"/>
          </w:rPr>
          <w:t>http://www.openaccesspublishing.org/apc2/</w:t>
        </w:r>
      </w:hyperlink>
    </w:p>
  </w:footnote>
  <w:footnote w:id="14">
    <w:p w:rsidR="0083184F" w:rsidRDefault="00EF767C">
      <w:pPr>
        <w:pStyle w:val="Textbody"/>
        <w:rPr>
          <w:sz w:val="16"/>
          <w:szCs w:val="16"/>
        </w:rPr>
      </w:pPr>
      <w:r>
        <w:rPr>
          <w:rStyle w:val="Appelnotedebasdep"/>
        </w:rPr>
        <w:footnoteRef/>
      </w:r>
      <w:r>
        <w:rPr>
          <w:sz w:val="16"/>
          <w:szCs w:val="16"/>
        </w:rPr>
        <w:t xml:space="preserve">Un dernier facteur lié au Compact </w:t>
      </w:r>
      <w:proofErr w:type="spellStart"/>
      <w:r>
        <w:rPr>
          <w:sz w:val="16"/>
          <w:szCs w:val="16"/>
        </w:rPr>
        <w:t>agreements</w:t>
      </w:r>
      <w:proofErr w:type="spellEnd"/>
      <w:r>
        <w:rPr>
          <w:sz w:val="16"/>
          <w:szCs w:val="16"/>
        </w:rPr>
        <w:t xml:space="preserve"> aura un impact positif sur les marges de Springer. Comme on l'a vu ces « </w:t>
      </w:r>
      <w:proofErr w:type="spellStart"/>
      <w:r>
        <w:rPr>
          <w:sz w:val="16"/>
          <w:szCs w:val="16"/>
        </w:rPr>
        <w:t>big</w:t>
      </w:r>
      <w:proofErr w:type="spellEnd"/>
      <w:r>
        <w:rPr>
          <w:sz w:val="16"/>
          <w:szCs w:val="16"/>
        </w:rPr>
        <w:t xml:space="preserve"> deals » de nouvelle génération abaissent drastiquement les coûts de transactions, en particulier ceux associés à la perception des</w:t>
      </w:r>
      <w:r>
        <w:rPr>
          <w:sz w:val="16"/>
          <w:szCs w:val="16"/>
        </w:rPr>
        <w:t xml:space="preserve"> APC. Un « One </w:t>
      </w:r>
      <w:proofErr w:type="spellStart"/>
      <w:r>
        <w:rPr>
          <w:sz w:val="16"/>
          <w:szCs w:val="16"/>
        </w:rPr>
        <w:t>payment</w:t>
      </w:r>
      <w:proofErr w:type="spellEnd"/>
      <w:r>
        <w:rPr>
          <w:sz w:val="16"/>
          <w:szCs w:val="16"/>
        </w:rPr>
        <w:t xml:space="preserve"> </w:t>
      </w:r>
      <w:proofErr w:type="spellStart"/>
      <w:r>
        <w:rPr>
          <w:sz w:val="16"/>
          <w:szCs w:val="16"/>
        </w:rPr>
        <w:t>scheme</w:t>
      </w:r>
      <w:proofErr w:type="spellEnd"/>
      <w:r>
        <w:rPr>
          <w:sz w:val="16"/>
          <w:szCs w:val="16"/>
        </w:rPr>
        <w:t> » dispensera Springer de facturer – au prix d'un coût caché certain – les APC au chercheur ou à son unité. Les grands éditeurs for-profit ont dans les 10 dernières années reconfigurer leur forces commerciales pour la négociati</w:t>
      </w:r>
      <w:r>
        <w:rPr>
          <w:sz w:val="16"/>
          <w:szCs w:val="16"/>
        </w:rPr>
        <w:t>on « grands comptes» (celle avec des consortiums). Ils seraient très mal équipés aujourd'hui pour facturer individuellement des APC au chercheur ou à son unité.</w:t>
      </w:r>
    </w:p>
  </w:footnote>
  <w:footnote w:id="15">
    <w:p w:rsidR="0083184F" w:rsidRDefault="00EF767C">
      <w:pPr>
        <w:pStyle w:val="Textbody"/>
      </w:pPr>
      <w:r>
        <w:rPr>
          <w:rStyle w:val="Appelnotedebasdep"/>
        </w:rPr>
        <w:footnoteRef/>
      </w:r>
      <w:r>
        <w:rPr>
          <w:sz w:val="16"/>
          <w:szCs w:val="16"/>
        </w:rPr>
        <w:t xml:space="preserve"> Les travaux de M</w:t>
      </w:r>
      <w:r>
        <w:rPr>
          <w:sz w:val="16"/>
          <w:szCs w:val="16"/>
        </w:rPr>
        <w:t xml:space="preserve">athias </w:t>
      </w:r>
      <w:proofErr w:type="spellStart"/>
      <w:r>
        <w:rPr>
          <w:sz w:val="16"/>
          <w:szCs w:val="16"/>
        </w:rPr>
        <w:t>Dewatripont</w:t>
      </w:r>
      <w:proofErr w:type="spellEnd"/>
      <w:r>
        <w:rPr>
          <w:sz w:val="16"/>
          <w:szCs w:val="16"/>
        </w:rPr>
        <w:t xml:space="preserve"> </w:t>
      </w:r>
      <w:proofErr w:type="spellStart"/>
      <w:r>
        <w:rPr>
          <w:sz w:val="16"/>
          <w:szCs w:val="16"/>
        </w:rPr>
        <w:t>ed</w:t>
      </w:r>
      <w:proofErr w:type="spellEnd"/>
      <w:r>
        <w:rPr>
          <w:sz w:val="16"/>
          <w:szCs w:val="16"/>
        </w:rPr>
        <w:t xml:space="preserve"> al. ont largement démontré ce point : </w:t>
      </w:r>
      <w:bookmarkStart w:id="262" w:name="yui_3_16_0_1_1445939773516_53451"/>
      <w:bookmarkEnd w:id="262"/>
      <w:proofErr w:type="spellStart"/>
      <w:r>
        <w:rPr>
          <w:i/>
          <w:sz w:val="16"/>
          <w:szCs w:val="16"/>
        </w:rPr>
        <w:t>Study</w:t>
      </w:r>
      <w:proofErr w:type="spellEnd"/>
      <w:r>
        <w:rPr>
          <w:i/>
          <w:sz w:val="16"/>
          <w:szCs w:val="16"/>
        </w:rPr>
        <w:t xml:space="preserve"> on the </w:t>
      </w:r>
      <w:proofErr w:type="spellStart"/>
      <w:r>
        <w:rPr>
          <w:i/>
          <w:sz w:val="16"/>
          <w:szCs w:val="16"/>
        </w:rPr>
        <w:t>Economic</w:t>
      </w:r>
      <w:proofErr w:type="spellEnd"/>
      <w:r>
        <w:rPr>
          <w:i/>
          <w:sz w:val="16"/>
          <w:szCs w:val="16"/>
        </w:rPr>
        <w:t xml:space="preserve"> and </w:t>
      </w:r>
      <w:proofErr w:type="spellStart"/>
      <w:r>
        <w:rPr>
          <w:i/>
          <w:sz w:val="16"/>
          <w:szCs w:val="16"/>
        </w:rPr>
        <w:t>Technical</w:t>
      </w:r>
      <w:proofErr w:type="spellEnd"/>
      <w:r>
        <w:rPr>
          <w:i/>
          <w:sz w:val="16"/>
          <w:szCs w:val="16"/>
        </w:rPr>
        <w:t xml:space="preserve"> Evolution of the </w:t>
      </w:r>
      <w:proofErr w:type="spellStart"/>
      <w:r>
        <w:rPr>
          <w:i/>
          <w:sz w:val="16"/>
          <w:szCs w:val="16"/>
        </w:rPr>
        <w:t>Scientific</w:t>
      </w:r>
      <w:proofErr w:type="spellEnd"/>
      <w:r>
        <w:rPr>
          <w:i/>
          <w:sz w:val="16"/>
          <w:szCs w:val="16"/>
        </w:rPr>
        <w:t xml:space="preserve"> Publication </w:t>
      </w:r>
      <w:proofErr w:type="spellStart"/>
      <w:r>
        <w:rPr>
          <w:i/>
          <w:sz w:val="16"/>
          <w:szCs w:val="16"/>
        </w:rPr>
        <w:t>Markets</w:t>
      </w:r>
      <w:proofErr w:type="spellEnd"/>
      <w:r>
        <w:rPr>
          <w:i/>
          <w:sz w:val="16"/>
          <w:szCs w:val="16"/>
        </w:rPr>
        <w:t xml:space="preserve"> in Europe</w:t>
      </w:r>
      <w:r>
        <w:rPr>
          <w:sz w:val="16"/>
          <w:szCs w:val="16"/>
        </w:rPr>
        <w:t xml:space="preserve">, coauteurs : V. </w:t>
      </w:r>
      <w:proofErr w:type="spellStart"/>
      <w:r>
        <w:rPr>
          <w:sz w:val="16"/>
          <w:szCs w:val="16"/>
        </w:rPr>
        <w:t>Ginsburgh</w:t>
      </w:r>
      <w:proofErr w:type="spellEnd"/>
      <w:r>
        <w:rPr>
          <w:sz w:val="16"/>
          <w:szCs w:val="16"/>
        </w:rPr>
        <w:t xml:space="preserve">, P. Legros, A. </w:t>
      </w:r>
      <w:proofErr w:type="spellStart"/>
      <w:r>
        <w:rPr>
          <w:sz w:val="16"/>
          <w:szCs w:val="16"/>
        </w:rPr>
        <w:t>Walckiers</w:t>
      </w:r>
      <w:proofErr w:type="spellEnd"/>
      <w:r>
        <w:rPr>
          <w:sz w:val="16"/>
          <w:szCs w:val="16"/>
        </w:rPr>
        <w:t xml:space="preserve">, J.-P. </w:t>
      </w:r>
      <w:proofErr w:type="spellStart"/>
      <w:r>
        <w:rPr>
          <w:sz w:val="16"/>
          <w:szCs w:val="16"/>
        </w:rPr>
        <w:t>Devroey</w:t>
      </w:r>
      <w:proofErr w:type="spellEnd"/>
      <w:r>
        <w:rPr>
          <w:sz w:val="16"/>
          <w:szCs w:val="16"/>
        </w:rPr>
        <w:t xml:space="preserve">, M. Dujardin, F. </w:t>
      </w:r>
      <w:proofErr w:type="spellStart"/>
      <w:r>
        <w:rPr>
          <w:sz w:val="16"/>
          <w:szCs w:val="16"/>
        </w:rPr>
        <w:t>Vandooren</w:t>
      </w:r>
      <w:proofErr w:type="spellEnd"/>
      <w:r>
        <w:rPr>
          <w:sz w:val="16"/>
          <w:szCs w:val="16"/>
        </w:rPr>
        <w:t>, P. Duboi</w:t>
      </w:r>
      <w:r>
        <w:rPr>
          <w:sz w:val="16"/>
          <w:szCs w:val="16"/>
        </w:rPr>
        <w:t xml:space="preserve">s, J. </w:t>
      </w:r>
      <w:proofErr w:type="spellStart"/>
      <w:r>
        <w:rPr>
          <w:sz w:val="16"/>
          <w:szCs w:val="16"/>
        </w:rPr>
        <w:t>Foncel</w:t>
      </w:r>
      <w:proofErr w:type="spellEnd"/>
      <w:r>
        <w:rPr>
          <w:sz w:val="16"/>
          <w:szCs w:val="16"/>
        </w:rPr>
        <w:t xml:space="preserve">, M. </w:t>
      </w:r>
      <w:proofErr w:type="spellStart"/>
      <w:r>
        <w:rPr>
          <w:sz w:val="16"/>
          <w:szCs w:val="16"/>
        </w:rPr>
        <w:t>Ivaldi</w:t>
      </w:r>
      <w:proofErr w:type="spellEnd"/>
      <w:r>
        <w:rPr>
          <w:sz w:val="16"/>
          <w:szCs w:val="16"/>
        </w:rPr>
        <w:t xml:space="preserve"> et M.-D. </w:t>
      </w:r>
      <w:proofErr w:type="spellStart"/>
      <w:r>
        <w:rPr>
          <w:sz w:val="16"/>
          <w:szCs w:val="16"/>
        </w:rPr>
        <w:t>Heusse</w:t>
      </w:r>
      <w:proofErr w:type="spellEnd"/>
      <w:r>
        <w:rPr>
          <w:sz w:val="16"/>
          <w:szCs w:val="16"/>
        </w:rPr>
        <w:t>, Commission Européenne, Bruxelles, 2006.</w:t>
      </w:r>
    </w:p>
  </w:footnote>
  <w:footnote w:id="16">
    <w:p w:rsidR="0083184F" w:rsidRDefault="00EF767C">
      <w:pPr>
        <w:pStyle w:val="Footnote"/>
        <w:ind w:left="0" w:firstLine="0"/>
      </w:pPr>
      <w:r>
        <w:rPr>
          <w:rStyle w:val="Appelnotedebasdep"/>
        </w:rPr>
        <w:footnoteRef/>
      </w:r>
      <w:r>
        <w:t xml:space="preserve"> </w:t>
      </w:r>
      <w:r>
        <w:rPr>
          <w:sz w:val="16"/>
          <w:szCs w:val="16"/>
        </w:rPr>
        <w:t xml:space="preserve">Mais </w:t>
      </w:r>
      <w:proofErr w:type="spellStart"/>
      <w:r>
        <w:rPr>
          <w:sz w:val="16"/>
          <w:szCs w:val="16"/>
        </w:rPr>
        <w:t>Biomed</w:t>
      </w:r>
      <w:proofErr w:type="spellEnd"/>
      <w:r>
        <w:rPr>
          <w:sz w:val="16"/>
          <w:szCs w:val="16"/>
        </w:rPr>
        <w:t xml:space="preserve"> Central propose des accords institutionnels permettant au chercheur publiant de ne pas payer individuellement les APC</w:t>
      </w:r>
    </w:p>
  </w:footnote>
  <w:footnote w:id="17">
    <w:p w:rsidR="0083184F" w:rsidRDefault="00EF767C">
      <w:pPr>
        <w:pStyle w:val="Textbody"/>
        <w:rPr>
          <w:sz w:val="16"/>
          <w:szCs w:val="16"/>
        </w:rPr>
      </w:pPr>
      <w:r>
        <w:rPr>
          <w:rStyle w:val="Appelnotedebasdep"/>
        </w:rPr>
        <w:footnoteRef/>
      </w:r>
      <w:r>
        <w:rPr>
          <w:sz w:val="16"/>
          <w:szCs w:val="16"/>
        </w:rPr>
        <w:t xml:space="preserve"> www.outsellinc.com</w:t>
      </w:r>
    </w:p>
  </w:footnote>
  <w:footnote w:id="18">
    <w:p w:rsidR="0083184F" w:rsidRDefault="00EF767C">
      <w:pPr>
        <w:pStyle w:val="Textbody"/>
        <w:rPr>
          <w:sz w:val="16"/>
          <w:szCs w:val="16"/>
        </w:rPr>
      </w:pPr>
      <w:r>
        <w:rPr>
          <w:rStyle w:val="Appelnotedebasdep"/>
        </w:rPr>
        <w:footnoteRef/>
      </w:r>
      <w:r>
        <w:rPr>
          <w:sz w:val="16"/>
          <w:szCs w:val="16"/>
        </w:rPr>
        <w:t xml:space="preserve"> Mais de </w:t>
      </w:r>
      <w:proofErr w:type="spellStart"/>
      <w:r>
        <w:rPr>
          <w:sz w:val="16"/>
          <w:szCs w:val="16"/>
        </w:rPr>
        <w:t>Gruyter</w:t>
      </w:r>
      <w:proofErr w:type="spellEnd"/>
      <w:r>
        <w:rPr>
          <w:sz w:val="16"/>
          <w:szCs w:val="16"/>
        </w:rPr>
        <w:t xml:space="preserve"> propose aussi des Compact </w:t>
      </w:r>
      <w:proofErr w:type="spellStart"/>
      <w:r>
        <w:rPr>
          <w:sz w:val="16"/>
          <w:szCs w:val="16"/>
        </w:rPr>
        <w:t>agreements</w:t>
      </w:r>
      <w:proofErr w:type="spellEnd"/>
      <w:r>
        <w:rPr>
          <w:sz w:val="16"/>
          <w:szCs w:val="16"/>
        </w:rPr>
        <w:t xml:space="preserve"> tout à fait semblables </w:t>
      </w:r>
      <w:r>
        <w:rPr>
          <w:sz w:val="16"/>
          <w:szCs w:val="16"/>
        </w:rPr>
        <w:t>à ceux proposés par Springer.</w:t>
      </w:r>
    </w:p>
  </w:footnote>
  <w:footnote w:id="19">
    <w:p w:rsidR="0083184F" w:rsidRDefault="00EF767C">
      <w:pPr>
        <w:pStyle w:val="Textbody"/>
      </w:pPr>
      <w:r>
        <w:rPr>
          <w:rStyle w:val="Appelnotedebasdep"/>
        </w:rPr>
        <w:footnoteRef/>
      </w:r>
      <w:r>
        <w:rPr>
          <w:sz w:val="16"/>
          <w:szCs w:val="16"/>
        </w:rPr>
        <w:t xml:space="preserve">  Cité </w:t>
      </w:r>
      <w:r>
        <w:rPr>
          <w:sz w:val="16"/>
          <w:szCs w:val="16"/>
        </w:rPr>
        <w:t>dans l'étude DIST/CNRS « </w:t>
      </w:r>
      <w:bookmarkStart w:id="321" w:name="yui_3_16_0_1_1445939773516_53641"/>
      <w:bookmarkEnd w:id="321"/>
      <w:r>
        <w:rPr>
          <w:i/>
          <w:sz w:val="16"/>
          <w:szCs w:val="16"/>
        </w:rPr>
        <w:t>Financer la publication scientifique </w:t>
      </w:r>
      <w:r>
        <w:rPr>
          <w:sz w:val="16"/>
          <w:szCs w:val="16"/>
        </w:rPr>
        <w:t xml:space="preserve">», juin 2015, </w:t>
      </w:r>
      <w:hyperlink r:id="rId5" w:history="1">
        <w:r>
          <w:rPr>
            <w:sz w:val="16"/>
            <w:szCs w:val="16"/>
          </w:rPr>
          <w:t>http://www.cnrs.fr/dist/z-outils/documents/Distinfo2/DISTetude3.pdf</w:t>
        </w:r>
      </w:hyperlink>
      <w:r>
        <w:rPr>
          <w:sz w:val="16"/>
          <w:szCs w:val="16"/>
        </w:rPr>
        <w:t>,</w:t>
      </w:r>
    </w:p>
  </w:footnote>
  <w:footnote w:id="20">
    <w:p w:rsidR="0083184F" w:rsidRDefault="00EF767C">
      <w:pPr>
        <w:pStyle w:val="Standard"/>
      </w:pPr>
      <w:r>
        <w:rPr>
          <w:rStyle w:val="Appelnotedebasdep"/>
        </w:rPr>
        <w:footnoteRef/>
      </w:r>
      <w:r>
        <w:rPr>
          <w:sz w:val="16"/>
          <w:szCs w:val="16"/>
        </w:rPr>
        <w:t xml:space="preserve">  L</w:t>
      </w:r>
      <w:bookmarkStart w:id="338" w:name="yui_3_16_0_1_1445939773516_53871"/>
      <w:bookmarkStart w:id="339" w:name="yui_3_16_0_1_1445939773516_53851"/>
      <w:bookmarkStart w:id="340" w:name="yui_3_16_0_1_1445939773516_53831"/>
      <w:bookmarkEnd w:id="338"/>
      <w:bookmarkEnd w:id="339"/>
      <w:bookmarkEnd w:id="340"/>
      <w:r>
        <w:rPr>
          <w:sz w:val="16"/>
          <w:szCs w:val="16"/>
        </w:rPr>
        <w:t xml:space="preserve">es grands éditeurs </w:t>
      </w:r>
      <w:r>
        <w:rPr>
          <w:sz w:val="16"/>
          <w:szCs w:val="16"/>
        </w:rPr>
        <w:t>scientifiques externalisent d'ailleurs sur le sous-continent indien les deux tiers des tâches éditoriales.</w:t>
      </w:r>
    </w:p>
    <w:p w:rsidR="0083184F" w:rsidRDefault="0083184F">
      <w:pPr>
        <w:pStyle w:val="Textbody"/>
        <w:rPr>
          <w:sz w:val="8"/>
          <w:szCs w:val="8"/>
        </w:rPr>
      </w:pPr>
    </w:p>
  </w:footnote>
  <w:footnote w:id="21">
    <w:p w:rsidR="0083184F" w:rsidRDefault="00EF767C">
      <w:pPr>
        <w:pStyle w:val="Textbody"/>
      </w:pPr>
      <w:r>
        <w:rPr>
          <w:rStyle w:val="Appelnotedebasdep"/>
        </w:rPr>
        <w:footnoteRef/>
      </w:r>
      <w:r>
        <w:rPr>
          <w:sz w:val="16"/>
          <w:szCs w:val="16"/>
        </w:rPr>
        <w:t xml:space="preserve">  </w:t>
      </w:r>
      <w:hyperlink r:id="rId6" w:history="1">
        <w:r>
          <w:rPr>
            <w:sz w:val="16"/>
            <w:szCs w:val="16"/>
          </w:rPr>
          <w:t>www.scienceeurope.org/up</w:t>
        </w:r>
        <w:r>
          <w:rPr>
            <w:sz w:val="16"/>
            <w:szCs w:val="16"/>
          </w:rPr>
          <w:t>loads/Public%20documents%20and%20speeches/SE_OA_Pos_Statement.pdf</w:t>
        </w:r>
      </w:hyperlink>
    </w:p>
  </w:footnote>
  <w:footnote w:id="22">
    <w:p w:rsidR="0083184F" w:rsidRDefault="00EF767C">
      <w:pPr>
        <w:pStyle w:val="Textbody"/>
      </w:pPr>
      <w:r>
        <w:rPr>
          <w:rStyle w:val="Appelnotedebasdep"/>
        </w:rPr>
        <w:footnoteRef/>
      </w:r>
      <w:r>
        <w:rPr>
          <w:sz w:val="16"/>
          <w:szCs w:val="16"/>
        </w:rPr>
        <w:t xml:space="preserve">  on dispose déjà de nombreuses données sur ces coûts qu'il s'agirait de valider et de traduire dans un </w:t>
      </w:r>
      <w:proofErr w:type="spellStart"/>
      <w:r>
        <w:rPr>
          <w:sz w:val="16"/>
          <w:szCs w:val="16"/>
        </w:rPr>
        <w:t>barême</w:t>
      </w:r>
      <w:proofErr w:type="spellEnd"/>
      <w:r>
        <w:rPr>
          <w:sz w:val="16"/>
          <w:szCs w:val="16"/>
        </w:rPr>
        <w:t xml:space="preserve"> ce que seraient, suivant les différentes grandes typologies de revues, les </w:t>
      </w:r>
      <w:r>
        <w:rPr>
          <w:sz w:val="16"/>
          <w:szCs w:val="16"/>
        </w:rPr>
        <w:t xml:space="preserve">niveau </w:t>
      </w:r>
      <w:proofErr w:type="spellStart"/>
      <w:r>
        <w:rPr>
          <w:sz w:val="16"/>
          <w:szCs w:val="16"/>
        </w:rPr>
        <w:t>xd'APC</w:t>
      </w:r>
      <w:proofErr w:type="spellEnd"/>
      <w:r>
        <w:rPr>
          <w:sz w:val="16"/>
          <w:szCs w:val="16"/>
        </w:rPr>
        <w:t xml:space="preserve"> acceptables par la communauté scientifique </w:t>
      </w:r>
      <w:bookmarkStart w:id="426" w:name="yui_3_16_0_1_1445939773516_54121"/>
      <w:bookmarkEnd w:id="426"/>
      <w:r>
        <w:rPr>
          <w:sz w:val="16"/>
          <w:szCs w:val="16"/>
          <w:u w:val="single"/>
        </w:rPr>
        <w:t>et</w:t>
      </w:r>
      <w:r>
        <w:rPr>
          <w:sz w:val="16"/>
          <w:szCs w:val="16"/>
        </w:rPr>
        <w:t xml:space="preserve"> permettant une juste rétribution de l'éditeur.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2DB"/>
    <w:multiLevelType w:val="multilevel"/>
    <w:tmpl w:val="36EC8816"/>
    <w:styleLink w:val="WWNum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3184F"/>
    <w:rsid w:val="0083184F"/>
    <w:rsid w:val="00EF7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next w:val="Textbody"/>
    <w:pPr>
      <w:outlineLvl w:val="1"/>
    </w:pPr>
    <w:rPr>
      <w:rFonts w:ascii="Times New Roman" w:eastAsia="SimSu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Textedebulles">
    <w:name w:val="Balloon Text"/>
    <w:basedOn w:val="Standard"/>
    <w:rPr>
      <w:rFonts w:ascii="Tahoma" w:hAnsi="Tahoma"/>
      <w:sz w:val="16"/>
      <w:szCs w:val="14"/>
    </w:rPr>
  </w:style>
  <w:style w:type="paragraph" w:styleId="Commentaire">
    <w:name w:val="annotation text"/>
    <w:basedOn w:val="Standard"/>
    <w:rPr>
      <w:sz w:val="20"/>
      <w:szCs w:val="18"/>
    </w:rPr>
  </w:style>
  <w:style w:type="paragraph" w:styleId="Objetducommentaire">
    <w:name w:val="annotation subject"/>
    <w:basedOn w:val="Commentaire"/>
    <w:rPr>
      <w:b/>
      <w:bCs/>
    </w:rPr>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customStyle="1" w:styleId="TextedebullesCar">
    <w:name w:val="Texte de bulles Car"/>
    <w:basedOn w:val="Policepardfaut"/>
    <w:rPr>
      <w:rFonts w:ascii="Tahoma" w:hAnsi="Tahoma"/>
      <w:sz w:val="16"/>
      <w:szCs w:val="14"/>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ListLabel1">
    <w:name w:val="ListLabel 1"/>
    <w:rPr>
      <w:rFonts w:eastAsia="OpenSymbol" w:cs="OpenSymbol"/>
    </w:rPr>
  </w:style>
  <w:style w:type="character" w:customStyle="1" w:styleId="FootnoteSymbol">
    <w:name w:val="Footnote Symbol"/>
  </w:style>
  <w:style w:type="numbering" w:customStyle="1" w:styleId="WWNum1">
    <w:name w:val="WWNum1"/>
    <w:basedOn w:val="Aucuneliste"/>
    <w:pPr>
      <w:numPr>
        <w:numId w:val="1"/>
      </w:numPr>
    </w:pPr>
  </w:style>
  <w:style w:type="character" w:styleId="Appelnotedebasdep">
    <w:name w:val="footnote reference"/>
    <w:basedOn w:val="Policepardfau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Heading"/>
    <w:next w:val="Textbody"/>
    <w:pPr>
      <w:outlineLvl w:val="1"/>
    </w:pPr>
    <w:rPr>
      <w:rFonts w:ascii="Times New Roman" w:eastAsia="SimSu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Textedebulles">
    <w:name w:val="Balloon Text"/>
    <w:basedOn w:val="Standard"/>
    <w:rPr>
      <w:rFonts w:ascii="Tahoma" w:hAnsi="Tahoma"/>
      <w:sz w:val="16"/>
      <w:szCs w:val="14"/>
    </w:rPr>
  </w:style>
  <w:style w:type="paragraph" w:styleId="Commentaire">
    <w:name w:val="annotation text"/>
    <w:basedOn w:val="Standard"/>
    <w:rPr>
      <w:sz w:val="20"/>
      <w:szCs w:val="18"/>
    </w:rPr>
  </w:style>
  <w:style w:type="paragraph" w:styleId="Objetducommentaire">
    <w:name w:val="annotation subject"/>
    <w:basedOn w:val="Commentaire"/>
    <w:rPr>
      <w:b/>
      <w:bCs/>
    </w:rPr>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customStyle="1" w:styleId="TextedebullesCar">
    <w:name w:val="Texte de bulles Car"/>
    <w:basedOn w:val="Policepardfaut"/>
    <w:rPr>
      <w:rFonts w:ascii="Tahoma" w:hAnsi="Tahoma"/>
      <w:sz w:val="16"/>
      <w:szCs w:val="14"/>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ListLabel1">
    <w:name w:val="ListLabel 1"/>
    <w:rPr>
      <w:rFonts w:eastAsia="OpenSymbol" w:cs="OpenSymbol"/>
    </w:rPr>
  </w:style>
  <w:style w:type="character" w:customStyle="1" w:styleId="FootnoteSymbol">
    <w:name w:val="Footnote Symbol"/>
  </w:style>
  <w:style w:type="numbering" w:customStyle="1" w:styleId="WWNum1">
    <w:name w:val="WWNum1"/>
    <w:basedOn w:val="Aucuneliste"/>
    <w:pPr>
      <w:numPr>
        <w:numId w:val="1"/>
      </w:numPr>
    </w:p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openaccess.mpg.de/1101330/header_image.jpg" TargetMode="External"/><Relationship Id="rId13" Type="http://schemas.openxmlformats.org/officeDocument/2006/relationships/hyperlink" Target="mailto:mvajou@yahoo.fr" TargetMode="External"/><Relationship Id="rId18" Type="http://schemas.openxmlformats.org/officeDocument/2006/relationships/hyperlink" Target="http://www.scienceeurope.org/uploads/Public%20documents%20and%20speeches/SE_OA_Pos_Statement.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europe.org/" TargetMode="External"/><Relationship Id="rId17" Type="http://schemas.openxmlformats.org/officeDocument/2006/relationships/hyperlink" Target="http://pubman.mpdl.mpg.de/pubman/item/escidoc:2148961:7/component/escidoc:2149096/MPDL_OA-Transition_White_Paper.pdf" TargetMode="External"/><Relationship Id="rId2" Type="http://schemas.openxmlformats.org/officeDocument/2006/relationships/styles" Target="styles.xml"/><Relationship Id="rId16" Type="http://schemas.openxmlformats.org/officeDocument/2006/relationships/hyperlink" Target="http://www.cnrs.fr/dist/z-outils/documents/Distinfo2/DISTetude3.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pg.de/" TargetMode="External"/><Relationship Id="rId5" Type="http://schemas.openxmlformats.org/officeDocument/2006/relationships/webSettings" Target="webSettings.xml"/><Relationship Id="rId15" Type="http://schemas.openxmlformats.org/officeDocument/2006/relationships/hyperlink" Target="https://fr-mg42.mail.yahoo.com/neo/launch?.rand=1o99l82is6mke#sdfootnote1anc" TargetMode="External"/><Relationship Id="rId10" Type="http://schemas.openxmlformats.org/officeDocument/2006/relationships/hyperlink" Target="http://www.jisc.ac.uk/" TargetMode="External"/><Relationship Id="rId19" Type="http://schemas.openxmlformats.org/officeDocument/2006/relationships/hyperlink" Target="https://fr-mg42.mail.yahoo.com/neo/launch?.rand=1o99l82is6mke#sdfootnote20anc" TargetMode="External"/><Relationship Id="rId4" Type="http://schemas.openxmlformats.org/officeDocument/2006/relationships/settings" Target="settings.xml"/><Relationship Id="rId9" Type="http://schemas.openxmlformats.org/officeDocument/2006/relationships/hyperlink" Target="http://www.springer.com/" TargetMode="Externa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www.openaccesspublishing.org/oa12/DOI10.1007s11192-015-1556-z.pdf" TargetMode="External"/><Relationship Id="rId2" Type="http://schemas.openxmlformats.org/officeDocument/2006/relationships/hyperlink" Target="http://pubman.mpdl.mpg.de/pubman/item/escidoc:2148961:7/component/escidoc:2149096/MPDL_OA-Transition_White_Paper.pdf" TargetMode="External"/><Relationship Id="rId1" Type="http://schemas.openxmlformats.org/officeDocument/2006/relationships/hyperlink" Target="http://www.cnrs.fr/dist/z-outils/documents/Distinfo2/DISTetude3.pdf" TargetMode="External"/><Relationship Id="rId6" Type="http://schemas.openxmlformats.org/officeDocument/2006/relationships/hyperlink" Target="http://www.scienceeurope.org/uploads/Public%20documents%20and%20speeches/SE_OA_Pos_Statement.pdf" TargetMode="External"/><Relationship Id="rId5" Type="http://schemas.openxmlformats.org/officeDocument/2006/relationships/hyperlink" Target="http://www.cnrs.fr/dist/z-outils/documents/Distinfo2/DISTetude3.pdf" TargetMode="External"/><Relationship Id="rId4" Type="http://schemas.openxmlformats.org/officeDocument/2006/relationships/hyperlink" Target="http://www.openaccesspublishing.org/apc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5438</Words>
  <Characters>29909</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IFP Energies Nouvelles</Company>
  <LinksUpToDate>false</LinksUpToDate>
  <CharactersWithSpaces>35277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Vajou</dc:creator>
  <cp:lastModifiedBy>BUFFETEAU-HEJBLUM Annie</cp:lastModifiedBy>
  <cp:revision>1</cp:revision>
  <cp:lastPrinted>2015-10-27T14:18:00Z</cp:lastPrinted>
  <dcterms:created xsi:type="dcterms:W3CDTF">2015-10-27T15:09:00Z</dcterms:created>
  <dcterms:modified xsi:type="dcterms:W3CDTF">2015-11-04T16:05:00Z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INIST - CNRS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